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F630" w14:textId="77777777" w:rsidR="00401FAE" w:rsidRDefault="00401FAE">
      <w:pPr>
        <w:pStyle w:val="CoverWP"/>
      </w:pPr>
    </w:p>
    <w:p w14:paraId="46F55485" w14:textId="77777777" w:rsidR="00401FAE" w:rsidRDefault="00787C76">
      <w:pPr>
        <w:pStyle w:val="CoverWP"/>
      </w:pPr>
      <w:r>
        <w:t>EN</w:t>
      </w:r>
    </w:p>
    <w:p w14:paraId="4CB85E4A" w14:textId="77777777" w:rsidR="00401FAE" w:rsidRDefault="00787C76">
      <w:pPr>
        <w:pStyle w:val="CoverWP"/>
      </w:pPr>
      <w:r>
        <w:t>Horizon Europe</w:t>
      </w:r>
    </w:p>
    <w:p w14:paraId="58060CE8" w14:textId="77777777" w:rsidR="00401FAE" w:rsidRDefault="00787C76">
      <w:pPr>
        <w:pStyle w:val="CoverWP"/>
      </w:pPr>
      <w:r>
        <w:t>Work Programme 2021-2022</w:t>
      </w:r>
    </w:p>
    <w:p w14:paraId="7B29F9D1" w14:textId="77777777" w:rsidR="00401FAE" w:rsidRDefault="00787C76">
      <w:pPr>
        <w:pStyle w:val="CoverTitle"/>
      </w:pPr>
      <w:r>
        <w:t>12. Missions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401FAE" w14:paraId="17C8D523" w14:textId="77777777">
        <w:tc>
          <w:tcPr>
            <w:tcW w:w="8500" w:type="dxa"/>
          </w:tcPr>
          <w:p w14:paraId="1461C974" w14:textId="77777777" w:rsidR="00401FAE" w:rsidRDefault="00787C76">
            <w:pPr>
              <w:pStyle w:val="NoticeTitle"/>
            </w:pPr>
            <w:r>
              <w:rPr>
                <w:color w:val="000000"/>
              </w:rPr>
              <w:t>DISCLAIMER</w:t>
            </w:r>
          </w:p>
          <w:p w14:paraId="067A2ACE" w14:textId="77777777" w:rsidR="00401FAE" w:rsidRDefault="00787C76">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0EA57151" w14:textId="77777777" w:rsidR="00401FAE" w:rsidRDefault="00401FAE">
      <w:pPr>
        <w:pStyle w:val="CoverDecision"/>
      </w:pPr>
    </w:p>
    <w:p w14:paraId="7BF8DC7B" w14:textId="77777777"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152F5365" w14:textId="77777777" w:rsidR="0075539F" w:rsidRDefault="0075539F">
          <w:pPr>
            <w:pStyle w:val="En-ttedetabledesmatires"/>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14:paraId="539F1525" w14:textId="77777777" w:rsidR="00112F79" w:rsidRDefault="00112F79">
          <w:pPr>
            <w:pStyle w:val="En-ttedetabledesmatires"/>
          </w:pPr>
          <w:r>
            <w:lastRenderedPageBreak/>
            <w:t xml:space="preserve">Table of </w:t>
          </w:r>
          <w:r w:rsidR="0027193B">
            <w:t>c</w:t>
          </w:r>
          <w:r>
            <w:t>ontents</w:t>
          </w:r>
        </w:p>
        <w:p w14:paraId="18FB02E9" w14:textId="77777777" w:rsidR="00787C76" w:rsidRDefault="00787C76">
          <w:pPr>
            <w:pStyle w:val="TM1"/>
            <w:tabs>
              <w:tab w:val="right" w:leader="dot" w:pos="9062"/>
            </w:tabs>
            <w:rPr>
              <w:rFonts w:asciiTheme="minorHAnsi" w:hAnsiTheme="minorHAnsi"/>
              <w:b w:val="0"/>
              <w:bCs w:val="0"/>
              <w:sz w:val="22"/>
              <w:szCs w:val="22"/>
              <w:lang w:eastAsia="en-US"/>
            </w:rPr>
          </w:pPr>
          <w:r>
            <w:fldChar w:fldCharType="begin"/>
          </w:r>
          <w:r>
            <w:instrText xml:space="preserve"> TOC \o "1-3" \h \z \u </w:instrText>
          </w:r>
          <w:r>
            <w:fldChar w:fldCharType="separate"/>
          </w:r>
          <w:hyperlink w:anchor="_Toc69807934" w:history="1">
            <w:r w:rsidRPr="00843165">
              <w:rPr>
                <w:rStyle w:val="Lienhypertexte"/>
              </w:rPr>
              <w:t>Introduction</w:t>
            </w:r>
            <w:r>
              <w:rPr>
                <w:webHidden/>
              </w:rPr>
              <w:tab/>
            </w:r>
            <w:r>
              <w:rPr>
                <w:webHidden/>
              </w:rPr>
              <w:fldChar w:fldCharType="begin"/>
            </w:r>
            <w:r>
              <w:rPr>
                <w:webHidden/>
              </w:rPr>
              <w:instrText xml:space="preserve"> PAGEREF _Toc69807934 \h </w:instrText>
            </w:r>
            <w:r>
              <w:rPr>
                <w:webHidden/>
              </w:rPr>
            </w:r>
            <w:r>
              <w:rPr>
                <w:webHidden/>
              </w:rPr>
              <w:fldChar w:fldCharType="separate"/>
            </w:r>
            <w:r>
              <w:rPr>
                <w:webHidden/>
              </w:rPr>
              <w:t>4</w:t>
            </w:r>
            <w:r>
              <w:rPr>
                <w:webHidden/>
              </w:rPr>
              <w:fldChar w:fldCharType="end"/>
            </w:r>
          </w:hyperlink>
        </w:p>
        <w:p w14:paraId="70AB6FA5"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35" w:history="1">
            <w:r w:rsidR="00787C76" w:rsidRPr="00843165">
              <w:rPr>
                <w:rStyle w:val="Lienhypertexte"/>
              </w:rPr>
              <w:t>Mission: Adaptation to climate change</w:t>
            </w:r>
            <w:r w:rsidR="00787C76">
              <w:rPr>
                <w:webHidden/>
              </w:rPr>
              <w:tab/>
            </w:r>
            <w:r w:rsidR="00787C76">
              <w:rPr>
                <w:webHidden/>
              </w:rPr>
              <w:fldChar w:fldCharType="begin"/>
            </w:r>
            <w:r w:rsidR="00787C76">
              <w:rPr>
                <w:webHidden/>
              </w:rPr>
              <w:instrText xml:space="preserve"> PAGEREF _Toc69807935 \h </w:instrText>
            </w:r>
            <w:r w:rsidR="00787C76">
              <w:rPr>
                <w:webHidden/>
              </w:rPr>
            </w:r>
            <w:r w:rsidR="00787C76">
              <w:rPr>
                <w:webHidden/>
              </w:rPr>
              <w:fldChar w:fldCharType="separate"/>
            </w:r>
            <w:r w:rsidR="00787C76">
              <w:rPr>
                <w:webHidden/>
              </w:rPr>
              <w:t>6</w:t>
            </w:r>
            <w:r w:rsidR="00787C76">
              <w:rPr>
                <w:webHidden/>
              </w:rPr>
              <w:fldChar w:fldCharType="end"/>
            </w:r>
          </w:hyperlink>
        </w:p>
        <w:p w14:paraId="7BE70652"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36" w:history="1">
            <w:r w:rsidR="00787C76" w:rsidRPr="00843165">
              <w:rPr>
                <w:rStyle w:val="Lienhypertexte"/>
                <w:noProof/>
              </w:rPr>
              <w:t>Call - Better prepared regional and local authorities to adapt to climate change</w:t>
            </w:r>
            <w:r w:rsidR="00787C76">
              <w:rPr>
                <w:noProof/>
                <w:webHidden/>
              </w:rPr>
              <w:tab/>
            </w:r>
            <w:r w:rsidR="00787C76">
              <w:rPr>
                <w:noProof/>
                <w:webHidden/>
              </w:rPr>
              <w:fldChar w:fldCharType="begin"/>
            </w:r>
            <w:r w:rsidR="00787C76">
              <w:rPr>
                <w:noProof/>
                <w:webHidden/>
              </w:rPr>
              <w:instrText xml:space="preserve"> PAGEREF _Toc69807936 \h </w:instrText>
            </w:r>
            <w:r w:rsidR="00787C76">
              <w:rPr>
                <w:noProof/>
                <w:webHidden/>
              </w:rPr>
            </w:r>
            <w:r w:rsidR="00787C76">
              <w:rPr>
                <w:noProof/>
                <w:webHidden/>
              </w:rPr>
              <w:fldChar w:fldCharType="separate"/>
            </w:r>
            <w:r w:rsidR="00787C76">
              <w:rPr>
                <w:noProof/>
                <w:webHidden/>
              </w:rPr>
              <w:t>8</w:t>
            </w:r>
            <w:r w:rsidR="00787C76">
              <w:rPr>
                <w:noProof/>
                <w:webHidden/>
              </w:rPr>
              <w:fldChar w:fldCharType="end"/>
            </w:r>
          </w:hyperlink>
        </w:p>
        <w:p w14:paraId="68EA81E1"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37"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_Toc69807937 \h </w:instrText>
            </w:r>
            <w:r w:rsidR="00787C76">
              <w:rPr>
                <w:noProof/>
                <w:webHidden/>
              </w:rPr>
            </w:r>
            <w:r w:rsidR="00787C76">
              <w:rPr>
                <w:noProof/>
                <w:webHidden/>
              </w:rPr>
              <w:fldChar w:fldCharType="separate"/>
            </w:r>
            <w:r w:rsidR="00787C76">
              <w:rPr>
                <w:noProof/>
                <w:webHidden/>
              </w:rPr>
              <w:t>8</w:t>
            </w:r>
            <w:r w:rsidR="00787C76">
              <w:rPr>
                <w:noProof/>
                <w:webHidden/>
              </w:rPr>
              <w:fldChar w:fldCharType="end"/>
            </w:r>
          </w:hyperlink>
        </w:p>
        <w:p w14:paraId="07858BF4"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38" w:history="1">
            <w:r w:rsidR="00787C76" w:rsidRPr="00843165">
              <w:rPr>
                <w:rStyle w:val="Lienhypertexte"/>
                <w:noProof/>
              </w:rPr>
              <w:t>HORIZON-MISS-2021-CLIMA-01-01: Better prepared regional and local authorities to adapt to climate change</w:t>
            </w:r>
            <w:r w:rsidR="00787C76">
              <w:rPr>
                <w:noProof/>
                <w:webHidden/>
              </w:rPr>
              <w:tab/>
            </w:r>
            <w:r w:rsidR="00787C76">
              <w:rPr>
                <w:noProof/>
                <w:webHidden/>
              </w:rPr>
              <w:fldChar w:fldCharType="begin"/>
            </w:r>
            <w:r w:rsidR="00787C76">
              <w:rPr>
                <w:noProof/>
                <w:webHidden/>
              </w:rPr>
              <w:instrText xml:space="preserve"> PAGEREF _Toc69807938 \h </w:instrText>
            </w:r>
            <w:r w:rsidR="00787C76">
              <w:rPr>
                <w:noProof/>
                <w:webHidden/>
              </w:rPr>
            </w:r>
            <w:r w:rsidR="00787C76">
              <w:rPr>
                <w:noProof/>
                <w:webHidden/>
              </w:rPr>
              <w:fldChar w:fldCharType="separate"/>
            </w:r>
            <w:r w:rsidR="00787C76">
              <w:rPr>
                <w:noProof/>
                <w:webHidden/>
              </w:rPr>
              <w:t>9</w:t>
            </w:r>
            <w:r w:rsidR="00787C76">
              <w:rPr>
                <w:noProof/>
                <w:webHidden/>
              </w:rPr>
              <w:fldChar w:fldCharType="end"/>
            </w:r>
          </w:hyperlink>
        </w:p>
        <w:p w14:paraId="2956C2BE"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39" w:history="1">
            <w:r w:rsidR="00787C76" w:rsidRPr="00843165">
              <w:rPr>
                <w:rStyle w:val="Lienhypertexte"/>
              </w:rPr>
              <w:t>Mission: Cancer</w:t>
            </w:r>
            <w:r w:rsidR="00787C76">
              <w:rPr>
                <w:webHidden/>
              </w:rPr>
              <w:tab/>
            </w:r>
            <w:r w:rsidR="00787C76">
              <w:rPr>
                <w:webHidden/>
              </w:rPr>
              <w:fldChar w:fldCharType="begin"/>
            </w:r>
            <w:r w:rsidR="00787C76">
              <w:rPr>
                <w:webHidden/>
              </w:rPr>
              <w:instrText xml:space="preserve"> PAGEREF _Toc69807939 \h </w:instrText>
            </w:r>
            <w:r w:rsidR="00787C76">
              <w:rPr>
                <w:webHidden/>
              </w:rPr>
            </w:r>
            <w:r w:rsidR="00787C76">
              <w:rPr>
                <w:webHidden/>
              </w:rPr>
              <w:fldChar w:fldCharType="separate"/>
            </w:r>
            <w:r w:rsidR="00787C76">
              <w:rPr>
                <w:webHidden/>
              </w:rPr>
              <w:t>15</w:t>
            </w:r>
            <w:r w:rsidR="00787C76">
              <w:rPr>
                <w:webHidden/>
              </w:rPr>
              <w:fldChar w:fldCharType="end"/>
            </w:r>
          </w:hyperlink>
        </w:p>
        <w:p w14:paraId="0079C839"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40" w:history="1">
            <w:r w:rsidR="00787C76" w:rsidRPr="00843165">
              <w:rPr>
                <w:rStyle w:val="Lienhypertexte"/>
                <w:noProof/>
              </w:rPr>
              <w:t>Call - Preparing UNCAN.eu, a European initiative to understand cancer</w:t>
            </w:r>
            <w:r w:rsidR="00787C76">
              <w:rPr>
                <w:noProof/>
                <w:webHidden/>
              </w:rPr>
              <w:tab/>
            </w:r>
            <w:r w:rsidR="00787C76">
              <w:rPr>
                <w:noProof/>
                <w:webHidden/>
              </w:rPr>
              <w:fldChar w:fldCharType="begin"/>
            </w:r>
            <w:r w:rsidR="00787C76">
              <w:rPr>
                <w:noProof/>
                <w:webHidden/>
              </w:rPr>
              <w:instrText xml:space="preserve"> PAGEREF _Toc69807940 \h </w:instrText>
            </w:r>
            <w:r w:rsidR="00787C76">
              <w:rPr>
                <w:noProof/>
                <w:webHidden/>
              </w:rPr>
            </w:r>
            <w:r w:rsidR="00787C76">
              <w:rPr>
                <w:noProof/>
                <w:webHidden/>
              </w:rPr>
              <w:fldChar w:fldCharType="separate"/>
            </w:r>
            <w:r w:rsidR="00787C76">
              <w:rPr>
                <w:noProof/>
                <w:webHidden/>
              </w:rPr>
              <w:t>17</w:t>
            </w:r>
            <w:r w:rsidR="00787C76">
              <w:rPr>
                <w:noProof/>
                <w:webHidden/>
              </w:rPr>
              <w:fldChar w:fldCharType="end"/>
            </w:r>
          </w:hyperlink>
        </w:p>
        <w:p w14:paraId="5B02D3F9"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41"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_Toc69807941 \h </w:instrText>
            </w:r>
            <w:r w:rsidR="00787C76">
              <w:rPr>
                <w:noProof/>
                <w:webHidden/>
              </w:rPr>
            </w:r>
            <w:r w:rsidR="00787C76">
              <w:rPr>
                <w:noProof/>
                <w:webHidden/>
              </w:rPr>
              <w:fldChar w:fldCharType="separate"/>
            </w:r>
            <w:r w:rsidR="00787C76">
              <w:rPr>
                <w:noProof/>
                <w:webHidden/>
              </w:rPr>
              <w:t>17</w:t>
            </w:r>
            <w:r w:rsidR="00787C76">
              <w:rPr>
                <w:noProof/>
                <w:webHidden/>
              </w:rPr>
              <w:fldChar w:fldCharType="end"/>
            </w:r>
          </w:hyperlink>
        </w:p>
        <w:p w14:paraId="168AEA2D"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42" w:history="1">
            <w:r w:rsidR="00787C76" w:rsidRPr="00843165">
              <w:rPr>
                <w:rStyle w:val="Lienhypertexte"/>
                <w:noProof/>
              </w:rPr>
              <w:t>HORIZON-MISS-2021-UNCAN-01-01: Preparing UNCAN.eu, a European initiative to understand cancer</w:t>
            </w:r>
            <w:r w:rsidR="00787C76">
              <w:rPr>
                <w:noProof/>
                <w:webHidden/>
              </w:rPr>
              <w:tab/>
            </w:r>
            <w:r w:rsidR="00787C76">
              <w:rPr>
                <w:noProof/>
                <w:webHidden/>
              </w:rPr>
              <w:fldChar w:fldCharType="begin"/>
            </w:r>
            <w:r w:rsidR="00787C76">
              <w:rPr>
                <w:noProof/>
                <w:webHidden/>
              </w:rPr>
              <w:instrText xml:space="preserve"> PAGEREF _Toc69807942 \h </w:instrText>
            </w:r>
            <w:r w:rsidR="00787C76">
              <w:rPr>
                <w:noProof/>
                <w:webHidden/>
              </w:rPr>
            </w:r>
            <w:r w:rsidR="00787C76">
              <w:rPr>
                <w:noProof/>
                <w:webHidden/>
              </w:rPr>
              <w:fldChar w:fldCharType="separate"/>
            </w:r>
            <w:r w:rsidR="00787C76">
              <w:rPr>
                <w:noProof/>
                <w:webHidden/>
              </w:rPr>
              <w:t>18</w:t>
            </w:r>
            <w:r w:rsidR="00787C76">
              <w:rPr>
                <w:noProof/>
                <w:webHidden/>
              </w:rPr>
              <w:fldChar w:fldCharType="end"/>
            </w:r>
          </w:hyperlink>
        </w:p>
        <w:p w14:paraId="6A4682CF"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43" w:history="1">
            <w:r w:rsidR="00787C76" w:rsidRPr="00843165">
              <w:rPr>
                <w:rStyle w:val="Lienhypertexte"/>
              </w:rPr>
              <w:t>Mission: Ocean, seas and waters</w:t>
            </w:r>
            <w:r w:rsidR="00787C76">
              <w:rPr>
                <w:webHidden/>
              </w:rPr>
              <w:tab/>
            </w:r>
            <w:r w:rsidR="00787C76">
              <w:rPr>
                <w:webHidden/>
              </w:rPr>
              <w:fldChar w:fldCharType="begin"/>
            </w:r>
            <w:r w:rsidR="00787C76">
              <w:rPr>
                <w:webHidden/>
              </w:rPr>
              <w:instrText xml:space="preserve"> PAGEREF _Toc69807943 \h </w:instrText>
            </w:r>
            <w:r w:rsidR="00787C76">
              <w:rPr>
                <w:webHidden/>
              </w:rPr>
            </w:r>
            <w:r w:rsidR="00787C76">
              <w:rPr>
                <w:webHidden/>
              </w:rPr>
              <w:fldChar w:fldCharType="separate"/>
            </w:r>
            <w:r w:rsidR="00787C76">
              <w:rPr>
                <w:webHidden/>
              </w:rPr>
              <w:t>21</w:t>
            </w:r>
            <w:r w:rsidR="00787C76">
              <w:rPr>
                <w:webHidden/>
              </w:rPr>
              <w:fldChar w:fldCharType="end"/>
            </w:r>
          </w:hyperlink>
        </w:p>
        <w:p w14:paraId="2E151D76"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44" w:history="1">
            <w:r w:rsidR="00787C76" w:rsidRPr="00843165">
              <w:rPr>
                <w:rStyle w:val="Lienhypertexte"/>
                <w:noProof/>
              </w:rPr>
              <w:t>Call - Preparation for deployment of ‘lighthouse demonstrators’ and solution scale ups and cross-cutting citizen and stakeholder involvement</w:t>
            </w:r>
            <w:r w:rsidR="00787C76">
              <w:rPr>
                <w:noProof/>
                <w:webHidden/>
              </w:rPr>
              <w:tab/>
            </w:r>
            <w:r w:rsidR="00787C76">
              <w:rPr>
                <w:noProof/>
                <w:webHidden/>
              </w:rPr>
              <w:fldChar w:fldCharType="begin"/>
            </w:r>
            <w:r w:rsidR="00787C76">
              <w:rPr>
                <w:noProof/>
                <w:webHidden/>
              </w:rPr>
              <w:instrText xml:space="preserve"> PAGEREF _Toc69807944 \h </w:instrText>
            </w:r>
            <w:r w:rsidR="00787C76">
              <w:rPr>
                <w:noProof/>
                <w:webHidden/>
              </w:rPr>
            </w:r>
            <w:r w:rsidR="00787C76">
              <w:rPr>
                <w:noProof/>
                <w:webHidden/>
              </w:rPr>
              <w:fldChar w:fldCharType="separate"/>
            </w:r>
            <w:r w:rsidR="00787C76">
              <w:rPr>
                <w:noProof/>
                <w:webHidden/>
              </w:rPr>
              <w:t>22</w:t>
            </w:r>
            <w:r w:rsidR="00787C76">
              <w:rPr>
                <w:noProof/>
                <w:webHidden/>
              </w:rPr>
              <w:fldChar w:fldCharType="end"/>
            </w:r>
          </w:hyperlink>
        </w:p>
        <w:p w14:paraId="7B17FEAC"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45"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_Toc69807945 \h </w:instrText>
            </w:r>
            <w:r w:rsidR="00787C76">
              <w:rPr>
                <w:noProof/>
                <w:webHidden/>
              </w:rPr>
            </w:r>
            <w:r w:rsidR="00787C76">
              <w:rPr>
                <w:noProof/>
                <w:webHidden/>
              </w:rPr>
              <w:fldChar w:fldCharType="separate"/>
            </w:r>
            <w:r w:rsidR="00787C76">
              <w:rPr>
                <w:noProof/>
                <w:webHidden/>
              </w:rPr>
              <w:t>22</w:t>
            </w:r>
            <w:r w:rsidR="00787C76">
              <w:rPr>
                <w:noProof/>
                <w:webHidden/>
              </w:rPr>
              <w:fldChar w:fldCharType="end"/>
            </w:r>
          </w:hyperlink>
        </w:p>
        <w:p w14:paraId="6291FF46"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46" w:history="1">
            <w:r w:rsidR="00787C76" w:rsidRPr="00843165">
              <w:rPr>
                <w:rStyle w:val="Lienhypertexte"/>
                <w:noProof/>
              </w:rPr>
              <w:t>HORIZON-MISS-2021-OCEAN-01-01: Preparation for deployment of lighthouse demonstrators and solution scale ups and cross-cutting citizen and stakeholder involvement</w:t>
            </w:r>
            <w:r w:rsidR="00787C76">
              <w:rPr>
                <w:noProof/>
                <w:webHidden/>
              </w:rPr>
              <w:tab/>
            </w:r>
            <w:r w:rsidR="00787C76">
              <w:rPr>
                <w:noProof/>
                <w:webHidden/>
              </w:rPr>
              <w:fldChar w:fldCharType="begin"/>
            </w:r>
            <w:r w:rsidR="00787C76">
              <w:rPr>
                <w:noProof/>
                <w:webHidden/>
              </w:rPr>
              <w:instrText xml:space="preserve"> PAGEREF _Toc69807946 \h </w:instrText>
            </w:r>
            <w:r w:rsidR="00787C76">
              <w:rPr>
                <w:noProof/>
                <w:webHidden/>
              </w:rPr>
            </w:r>
            <w:r w:rsidR="00787C76">
              <w:rPr>
                <w:noProof/>
                <w:webHidden/>
              </w:rPr>
              <w:fldChar w:fldCharType="separate"/>
            </w:r>
            <w:r w:rsidR="00787C76">
              <w:rPr>
                <w:noProof/>
                <w:webHidden/>
              </w:rPr>
              <w:t>23</w:t>
            </w:r>
            <w:r w:rsidR="00787C76">
              <w:rPr>
                <w:noProof/>
                <w:webHidden/>
              </w:rPr>
              <w:fldChar w:fldCharType="end"/>
            </w:r>
          </w:hyperlink>
        </w:p>
        <w:p w14:paraId="15FB04C3"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47" w:history="1">
            <w:r w:rsidR="00787C76" w:rsidRPr="00843165">
              <w:rPr>
                <w:rStyle w:val="Lienhypertexte"/>
              </w:rPr>
              <w:t>Mission: Climate neutral and smart cities</w:t>
            </w:r>
            <w:r w:rsidR="00787C76">
              <w:rPr>
                <w:webHidden/>
              </w:rPr>
              <w:tab/>
            </w:r>
            <w:r w:rsidR="00787C76">
              <w:rPr>
                <w:webHidden/>
              </w:rPr>
              <w:fldChar w:fldCharType="begin"/>
            </w:r>
            <w:r w:rsidR="00787C76">
              <w:rPr>
                <w:webHidden/>
              </w:rPr>
              <w:instrText xml:space="preserve"> PAGEREF _Toc69807947 \h </w:instrText>
            </w:r>
            <w:r w:rsidR="00787C76">
              <w:rPr>
                <w:webHidden/>
              </w:rPr>
            </w:r>
            <w:r w:rsidR="00787C76">
              <w:rPr>
                <w:webHidden/>
              </w:rPr>
              <w:fldChar w:fldCharType="separate"/>
            </w:r>
            <w:r w:rsidR="00787C76">
              <w:rPr>
                <w:webHidden/>
              </w:rPr>
              <w:t>27</w:t>
            </w:r>
            <w:r w:rsidR="00787C76">
              <w:rPr>
                <w:webHidden/>
              </w:rPr>
              <w:fldChar w:fldCharType="end"/>
            </w:r>
          </w:hyperlink>
        </w:p>
        <w:p w14:paraId="59F268A2"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48" w:history="1">
            <w:r w:rsidR="00787C76" w:rsidRPr="00843165">
              <w:rPr>
                <w:rStyle w:val="Lienhypertexte"/>
                <w:noProof/>
              </w:rPr>
              <w:t>Call - Supporting the transition towards climate neutrality within cities</w:t>
            </w:r>
            <w:r w:rsidR="00787C76">
              <w:rPr>
                <w:noProof/>
                <w:webHidden/>
              </w:rPr>
              <w:tab/>
            </w:r>
            <w:r w:rsidR="00787C76">
              <w:rPr>
                <w:noProof/>
                <w:webHidden/>
              </w:rPr>
              <w:fldChar w:fldCharType="begin"/>
            </w:r>
            <w:r w:rsidR="00787C76">
              <w:rPr>
                <w:noProof/>
                <w:webHidden/>
              </w:rPr>
              <w:instrText xml:space="preserve"> PAGEREF _Toc69807948 \h </w:instrText>
            </w:r>
            <w:r w:rsidR="00787C76">
              <w:rPr>
                <w:noProof/>
                <w:webHidden/>
              </w:rPr>
            </w:r>
            <w:r w:rsidR="00787C76">
              <w:rPr>
                <w:noProof/>
                <w:webHidden/>
              </w:rPr>
              <w:fldChar w:fldCharType="separate"/>
            </w:r>
            <w:r w:rsidR="00787C76">
              <w:rPr>
                <w:noProof/>
                <w:webHidden/>
              </w:rPr>
              <w:t>28</w:t>
            </w:r>
            <w:r w:rsidR="00787C76">
              <w:rPr>
                <w:noProof/>
                <w:webHidden/>
              </w:rPr>
              <w:fldChar w:fldCharType="end"/>
            </w:r>
          </w:hyperlink>
        </w:p>
        <w:p w14:paraId="43A4E6BE"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49"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_Toc69807949 \h </w:instrText>
            </w:r>
            <w:r w:rsidR="00787C76">
              <w:rPr>
                <w:noProof/>
                <w:webHidden/>
              </w:rPr>
            </w:r>
            <w:r w:rsidR="00787C76">
              <w:rPr>
                <w:noProof/>
                <w:webHidden/>
              </w:rPr>
              <w:fldChar w:fldCharType="separate"/>
            </w:r>
            <w:r w:rsidR="00787C76">
              <w:rPr>
                <w:noProof/>
                <w:webHidden/>
              </w:rPr>
              <w:t>28</w:t>
            </w:r>
            <w:r w:rsidR="00787C76">
              <w:rPr>
                <w:noProof/>
                <w:webHidden/>
              </w:rPr>
              <w:fldChar w:fldCharType="end"/>
            </w:r>
          </w:hyperlink>
        </w:p>
        <w:p w14:paraId="2834E356"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50" w:history="1">
            <w:r w:rsidR="00787C76" w:rsidRPr="00843165">
              <w:rPr>
                <w:rStyle w:val="Lienhypertexte"/>
                <w:noProof/>
              </w:rPr>
              <w:t>HORIZON-MISS-2021-CIT-01-01: Supporting national, regional and local authorities across Europe to prepare for the transition towards climate neutrality within cities</w:t>
            </w:r>
            <w:r w:rsidR="00787C76">
              <w:rPr>
                <w:noProof/>
                <w:webHidden/>
              </w:rPr>
              <w:tab/>
            </w:r>
            <w:r w:rsidR="00787C76">
              <w:rPr>
                <w:noProof/>
                <w:webHidden/>
              </w:rPr>
              <w:fldChar w:fldCharType="begin"/>
            </w:r>
            <w:r w:rsidR="00787C76">
              <w:rPr>
                <w:noProof/>
                <w:webHidden/>
              </w:rPr>
              <w:instrText xml:space="preserve"> PAGEREF _Toc69807950 \h </w:instrText>
            </w:r>
            <w:r w:rsidR="00787C76">
              <w:rPr>
                <w:noProof/>
                <w:webHidden/>
              </w:rPr>
            </w:r>
            <w:r w:rsidR="00787C76">
              <w:rPr>
                <w:noProof/>
                <w:webHidden/>
              </w:rPr>
              <w:fldChar w:fldCharType="separate"/>
            </w:r>
            <w:r w:rsidR="00787C76">
              <w:rPr>
                <w:noProof/>
                <w:webHidden/>
              </w:rPr>
              <w:t>29</w:t>
            </w:r>
            <w:r w:rsidR="00787C76">
              <w:rPr>
                <w:noProof/>
                <w:webHidden/>
              </w:rPr>
              <w:fldChar w:fldCharType="end"/>
            </w:r>
          </w:hyperlink>
        </w:p>
        <w:p w14:paraId="10022BB1"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51" w:history="1">
            <w:r w:rsidR="00787C76" w:rsidRPr="00843165">
              <w:rPr>
                <w:rStyle w:val="Lienhypertexte"/>
                <w:noProof/>
              </w:rPr>
              <w:t>HORIZON-MISS-2021-CIT-01-02: Collaborative local governance models to accelerate the emblematic transformation of urban environment and contribute to the New European Bauhaus initiative and the objectives of the European Green Deal</w:t>
            </w:r>
            <w:r w:rsidR="00787C76">
              <w:rPr>
                <w:noProof/>
                <w:webHidden/>
              </w:rPr>
              <w:tab/>
            </w:r>
            <w:r w:rsidR="00787C76">
              <w:rPr>
                <w:noProof/>
                <w:webHidden/>
              </w:rPr>
              <w:fldChar w:fldCharType="begin"/>
            </w:r>
            <w:r w:rsidR="00787C76">
              <w:rPr>
                <w:noProof/>
                <w:webHidden/>
              </w:rPr>
              <w:instrText xml:space="preserve"> PAGEREF _Toc69807951 \h </w:instrText>
            </w:r>
            <w:r w:rsidR="00787C76">
              <w:rPr>
                <w:noProof/>
                <w:webHidden/>
              </w:rPr>
            </w:r>
            <w:r w:rsidR="00787C76">
              <w:rPr>
                <w:noProof/>
                <w:webHidden/>
              </w:rPr>
              <w:fldChar w:fldCharType="separate"/>
            </w:r>
            <w:r w:rsidR="00787C76">
              <w:rPr>
                <w:noProof/>
                <w:webHidden/>
              </w:rPr>
              <w:t>32</w:t>
            </w:r>
            <w:r w:rsidR="00787C76">
              <w:rPr>
                <w:noProof/>
                <w:webHidden/>
              </w:rPr>
              <w:fldChar w:fldCharType="end"/>
            </w:r>
          </w:hyperlink>
        </w:p>
        <w:p w14:paraId="3E52E9C9"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52" w:history="1">
            <w:r w:rsidR="00787C76" w:rsidRPr="00843165">
              <w:rPr>
                <w:rStyle w:val="Lienhypertexte"/>
              </w:rPr>
              <w:t>Mission: Soil health and food</w:t>
            </w:r>
            <w:r w:rsidR="00787C76">
              <w:rPr>
                <w:webHidden/>
              </w:rPr>
              <w:tab/>
            </w:r>
            <w:r w:rsidR="00787C76">
              <w:rPr>
                <w:webHidden/>
              </w:rPr>
              <w:fldChar w:fldCharType="begin"/>
            </w:r>
            <w:r w:rsidR="00787C76">
              <w:rPr>
                <w:webHidden/>
              </w:rPr>
              <w:instrText xml:space="preserve"> PAGEREF _Toc69807952 \h </w:instrText>
            </w:r>
            <w:r w:rsidR="00787C76">
              <w:rPr>
                <w:webHidden/>
              </w:rPr>
            </w:r>
            <w:r w:rsidR="00787C76">
              <w:rPr>
                <w:webHidden/>
              </w:rPr>
              <w:fldChar w:fldCharType="separate"/>
            </w:r>
            <w:r w:rsidR="00787C76">
              <w:rPr>
                <w:webHidden/>
              </w:rPr>
              <w:t>35</w:t>
            </w:r>
            <w:r w:rsidR="00787C76">
              <w:rPr>
                <w:webHidden/>
              </w:rPr>
              <w:fldChar w:fldCharType="end"/>
            </w:r>
          </w:hyperlink>
        </w:p>
        <w:p w14:paraId="0DDF9E9C"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53" w:history="1">
            <w:r w:rsidR="00787C76" w:rsidRPr="00843165">
              <w:rPr>
                <w:rStyle w:val="Lienhypertexte"/>
                <w:noProof/>
              </w:rPr>
              <w:t>Call - Preparing the ground for healthy soils: building capacities for engagement, outreach and knowledge</w:t>
            </w:r>
            <w:r w:rsidR="00787C76">
              <w:rPr>
                <w:noProof/>
                <w:webHidden/>
              </w:rPr>
              <w:tab/>
            </w:r>
            <w:r w:rsidR="00787C76">
              <w:rPr>
                <w:noProof/>
                <w:webHidden/>
              </w:rPr>
              <w:fldChar w:fldCharType="begin"/>
            </w:r>
            <w:r w:rsidR="00787C76">
              <w:rPr>
                <w:noProof/>
                <w:webHidden/>
              </w:rPr>
              <w:instrText xml:space="preserve"> PAGEREF _Toc69807953 \h </w:instrText>
            </w:r>
            <w:r w:rsidR="00787C76">
              <w:rPr>
                <w:noProof/>
                <w:webHidden/>
              </w:rPr>
            </w:r>
            <w:r w:rsidR="00787C76">
              <w:rPr>
                <w:noProof/>
                <w:webHidden/>
              </w:rPr>
              <w:fldChar w:fldCharType="separate"/>
            </w:r>
            <w:r w:rsidR="00787C76">
              <w:rPr>
                <w:noProof/>
                <w:webHidden/>
              </w:rPr>
              <w:t>37</w:t>
            </w:r>
            <w:r w:rsidR="00787C76">
              <w:rPr>
                <w:noProof/>
                <w:webHidden/>
              </w:rPr>
              <w:fldChar w:fldCharType="end"/>
            </w:r>
          </w:hyperlink>
        </w:p>
        <w:p w14:paraId="56D4914D"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54"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_Toc69807954 \h </w:instrText>
            </w:r>
            <w:r w:rsidR="00787C76">
              <w:rPr>
                <w:noProof/>
                <w:webHidden/>
              </w:rPr>
            </w:r>
            <w:r w:rsidR="00787C76">
              <w:rPr>
                <w:noProof/>
                <w:webHidden/>
              </w:rPr>
              <w:fldChar w:fldCharType="separate"/>
            </w:r>
            <w:r w:rsidR="00787C76">
              <w:rPr>
                <w:noProof/>
                <w:webHidden/>
              </w:rPr>
              <w:t>37</w:t>
            </w:r>
            <w:r w:rsidR="00787C76">
              <w:rPr>
                <w:noProof/>
                <w:webHidden/>
              </w:rPr>
              <w:fldChar w:fldCharType="end"/>
            </w:r>
          </w:hyperlink>
        </w:p>
        <w:p w14:paraId="33D70D84"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55" w:history="1">
            <w:r w:rsidR="00787C76" w:rsidRPr="00843165">
              <w:rPr>
                <w:rStyle w:val="Lienhypertexte"/>
                <w:noProof/>
              </w:rPr>
              <w:t>HORIZON-MISS-2021-SOIL-01-01: Preparing the ground for healthy soils: building capacities for engagement, outreach and knowledge</w:t>
            </w:r>
            <w:r w:rsidR="00787C76">
              <w:rPr>
                <w:noProof/>
                <w:webHidden/>
              </w:rPr>
              <w:tab/>
            </w:r>
            <w:r w:rsidR="00787C76">
              <w:rPr>
                <w:noProof/>
                <w:webHidden/>
              </w:rPr>
              <w:fldChar w:fldCharType="begin"/>
            </w:r>
            <w:r w:rsidR="00787C76">
              <w:rPr>
                <w:noProof/>
                <w:webHidden/>
              </w:rPr>
              <w:instrText xml:space="preserve"> PAGEREF _Toc69807955 \h </w:instrText>
            </w:r>
            <w:r w:rsidR="00787C76">
              <w:rPr>
                <w:noProof/>
                <w:webHidden/>
              </w:rPr>
            </w:r>
            <w:r w:rsidR="00787C76">
              <w:rPr>
                <w:noProof/>
                <w:webHidden/>
              </w:rPr>
              <w:fldChar w:fldCharType="separate"/>
            </w:r>
            <w:r w:rsidR="00787C76">
              <w:rPr>
                <w:noProof/>
                <w:webHidden/>
              </w:rPr>
              <w:t>38</w:t>
            </w:r>
            <w:r w:rsidR="00787C76">
              <w:rPr>
                <w:noProof/>
                <w:webHidden/>
              </w:rPr>
              <w:fldChar w:fldCharType="end"/>
            </w:r>
          </w:hyperlink>
        </w:p>
        <w:p w14:paraId="5C2E52EC"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56" w:history="1">
            <w:r w:rsidR="00787C76" w:rsidRPr="00843165">
              <w:rPr>
                <w:rStyle w:val="Lienhypertexte"/>
              </w:rPr>
              <w:t>Destination: Complementing missions through national activities</w:t>
            </w:r>
            <w:r w:rsidR="00787C76">
              <w:rPr>
                <w:webHidden/>
              </w:rPr>
              <w:tab/>
            </w:r>
            <w:r w:rsidR="00787C76">
              <w:rPr>
                <w:webHidden/>
              </w:rPr>
              <w:fldChar w:fldCharType="begin"/>
            </w:r>
            <w:r w:rsidR="00787C76">
              <w:rPr>
                <w:webHidden/>
              </w:rPr>
              <w:instrText xml:space="preserve"> PAGEREF _Toc69807956 \h </w:instrText>
            </w:r>
            <w:r w:rsidR="00787C76">
              <w:rPr>
                <w:webHidden/>
              </w:rPr>
            </w:r>
            <w:r w:rsidR="00787C76">
              <w:rPr>
                <w:webHidden/>
              </w:rPr>
              <w:fldChar w:fldCharType="separate"/>
            </w:r>
            <w:r w:rsidR="00787C76">
              <w:rPr>
                <w:webHidden/>
              </w:rPr>
              <w:t>42</w:t>
            </w:r>
            <w:r w:rsidR="00787C76">
              <w:rPr>
                <w:webHidden/>
              </w:rPr>
              <w:fldChar w:fldCharType="end"/>
            </w:r>
          </w:hyperlink>
        </w:p>
        <w:p w14:paraId="78301CFE"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57" w:history="1">
            <w:r w:rsidR="00787C76" w:rsidRPr="00843165">
              <w:rPr>
                <w:rStyle w:val="Lienhypertexte"/>
                <w:noProof/>
              </w:rPr>
              <w:t>Call - Coordination of complementary actions for missions</w:t>
            </w:r>
            <w:r w:rsidR="00787C76">
              <w:rPr>
                <w:noProof/>
                <w:webHidden/>
              </w:rPr>
              <w:tab/>
            </w:r>
            <w:r w:rsidR="00787C76">
              <w:rPr>
                <w:noProof/>
                <w:webHidden/>
              </w:rPr>
              <w:fldChar w:fldCharType="begin"/>
            </w:r>
            <w:r w:rsidR="00787C76">
              <w:rPr>
                <w:noProof/>
                <w:webHidden/>
              </w:rPr>
              <w:instrText xml:space="preserve"> PAGEREF _Toc69807957 \h </w:instrText>
            </w:r>
            <w:r w:rsidR="00787C76">
              <w:rPr>
                <w:noProof/>
                <w:webHidden/>
              </w:rPr>
            </w:r>
            <w:r w:rsidR="00787C76">
              <w:rPr>
                <w:noProof/>
                <w:webHidden/>
              </w:rPr>
              <w:fldChar w:fldCharType="separate"/>
            </w:r>
            <w:r w:rsidR="00787C76">
              <w:rPr>
                <w:noProof/>
                <w:webHidden/>
              </w:rPr>
              <w:t>43</w:t>
            </w:r>
            <w:r w:rsidR="00787C76">
              <w:rPr>
                <w:noProof/>
                <w:webHidden/>
              </w:rPr>
              <w:fldChar w:fldCharType="end"/>
            </w:r>
          </w:hyperlink>
        </w:p>
        <w:p w14:paraId="68D546BD"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58"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_Toc69807958 \h </w:instrText>
            </w:r>
            <w:r w:rsidR="00787C76">
              <w:rPr>
                <w:noProof/>
                <w:webHidden/>
              </w:rPr>
            </w:r>
            <w:r w:rsidR="00787C76">
              <w:rPr>
                <w:noProof/>
                <w:webHidden/>
              </w:rPr>
              <w:fldChar w:fldCharType="separate"/>
            </w:r>
            <w:r w:rsidR="00787C76">
              <w:rPr>
                <w:noProof/>
                <w:webHidden/>
              </w:rPr>
              <w:t>43</w:t>
            </w:r>
            <w:r w:rsidR="00787C76">
              <w:rPr>
                <w:noProof/>
                <w:webHidden/>
              </w:rPr>
              <w:fldChar w:fldCharType="end"/>
            </w:r>
          </w:hyperlink>
        </w:p>
        <w:p w14:paraId="5907B446"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59" w:history="1">
            <w:r w:rsidR="00787C76" w:rsidRPr="00843165">
              <w:rPr>
                <w:rStyle w:val="Lienhypertexte"/>
                <w:noProof/>
              </w:rPr>
              <w:t>HORIZON-MISS-2021-COOR-01-01: Coordination of complementary actions for missions</w:t>
            </w:r>
            <w:r w:rsidR="00787C76">
              <w:rPr>
                <w:noProof/>
                <w:webHidden/>
              </w:rPr>
              <w:tab/>
            </w:r>
            <w:r w:rsidR="00787C76">
              <w:rPr>
                <w:noProof/>
                <w:webHidden/>
              </w:rPr>
              <w:fldChar w:fldCharType="begin"/>
            </w:r>
            <w:r w:rsidR="00787C76">
              <w:rPr>
                <w:noProof/>
                <w:webHidden/>
              </w:rPr>
              <w:instrText xml:space="preserve"> PAGEREF _Toc69807959 \h </w:instrText>
            </w:r>
            <w:r w:rsidR="00787C76">
              <w:rPr>
                <w:noProof/>
                <w:webHidden/>
              </w:rPr>
            </w:r>
            <w:r w:rsidR="00787C76">
              <w:rPr>
                <w:noProof/>
                <w:webHidden/>
              </w:rPr>
              <w:fldChar w:fldCharType="separate"/>
            </w:r>
            <w:r w:rsidR="00787C76">
              <w:rPr>
                <w:noProof/>
                <w:webHidden/>
              </w:rPr>
              <w:t>44</w:t>
            </w:r>
            <w:r w:rsidR="00787C76">
              <w:rPr>
                <w:noProof/>
                <w:webHidden/>
              </w:rPr>
              <w:fldChar w:fldCharType="end"/>
            </w:r>
          </w:hyperlink>
        </w:p>
        <w:p w14:paraId="179BC5B0"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60" w:history="1">
            <w:r w:rsidR="00787C76" w:rsidRPr="00843165">
              <w:rPr>
                <w:rStyle w:val="Lienhypertexte"/>
              </w:rPr>
              <w:t>Destination: Deployment of NEB lighthouse demonstrators in the context of missions</w:t>
            </w:r>
            <w:r w:rsidR="00787C76">
              <w:rPr>
                <w:webHidden/>
              </w:rPr>
              <w:tab/>
            </w:r>
            <w:r w:rsidR="00787C76">
              <w:rPr>
                <w:webHidden/>
              </w:rPr>
              <w:fldChar w:fldCharType="begin"/>
            </w:r>
            <w:r w:rsidR="00787C76">
              <w:rPr>
                <w:webHidden/>
              </w:rPr>
              <w:instrText xml:space="preserve"> PAGEREF _Toc69807960 \h </w:instrText>
            </w:r>
            <w:r w:rsidR="00787C76">
              <w:rPr>
                <w:webHidden/>
              </w:rPr>
            </w:r>
            <w:r w:rsidR="00787C76">
              <w:rPr>
                <w:webHidden/>
              </w:rPr>
              <w:fldChar w:fldCharType="separate"/>
            </w:r>
            <w:r w:rsidR="00787C76">
              <w:rPr>
                <w:webHidden/>
              </w:rPr>
              <w:t>47</w:t>
            </w:r>
            <w:r w:rsidR="00787C76">
              <w:rPr>
                <w:webHidden/>
              </w:rPr>
              <w:fldChar w:fldCharType="end"/>
            </w:r>
          </w:hyperlink>
        </w:p>
        <w:p w14:paraId="4DFBA5C3"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61" w:history="1">
            <w:r w:rsidR="00787C76" w:rsidRPr="00843165">
              <w:rPr>
                <w:rStyle w:val="Lienhypertexte"/>
                <w:noProof/>
              </w:rPr>
              <w:t>Call - Support the deployment of lighthouse demonstrators for the New European Bauhaus initiative in the context of Horizon Europe missions</w:t>
            </w:r>
            <w:r w:rsidR="00787C76">
              <w:rPr>
                <w:noProof/>
                <w:webHidden/>
              </w:rPr>
              <w:tab/>
            </w:r>
            <w:r w:rsidR="00787C76">
              <w:rPr>
                <w:noProof/>
                <w:webHidden/>
              </w:rPr>
              <w:fldChar w:fldCharType="begin"/>
            </w:r>
            <w:r w:rsidR="00787C76">
              <w:rPr>
                <w:noProof/>
                <w:webHidden/>
              </w:rPr>
              <w:instrText xml:space="preserve"> PAGEREF _Toc69807961 \h </w:instrText>
            </w:r>
            <w:r w:rsidR="00787C76">
              <w:rPr>
                <w:noProof/>
                <w:webHidden/>
              </w:rPr>
            </w:r>
            <w:r w:rsidR="00787C76">
              <w:rPr>
                <w:noProof/>
                <w:webHidden/>
              </w:rPr>
              <w:fldChar w:fldCharType="separate"/>
            </w:r>
            <w:r w:rsidR="00787C76">
              <w:rPr>
                <w:noProof/>
                <w:webHidden/>
              </w:rPr>
              <w:t>49</w:t>
            </w:r>
            <w:r w:rsidR="00787C76">
              <w:rPr>
                <w:noProof/>
                <w:webHidden/>
              </w:rPr>
              <w:fldChar w:fldCharType="end"/>
            </w:r>
          </w:hyperlink>
        </w:p>
        <w:p w14:paraId="4A1305DA"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62" w:history="1">
            <w:r w:rsidR="00787C76" w:rsidRPr="00843165">
              <w:rPr>
                <w:rStyle w:val="Lienhypertexte"/>
                <w:noProof/>
              </w:rPr>
              <w:t>Conditions for the Call</w:t>
            </w:r>
            <w:r w:rsidR="00787C76">
              <w:rPr>
                <w:noProof/>
                <w:webHidden/>
              </w:rPr>
              <w:tab/>
            </w:r>
            <w:r w:rsidR="00787C76">
              <w:rPr>
                <w:noProof/>
                <w:webHidden/>
              </w:rPr>
              <w:fldChar w:fldCharType="begin"/>
            </w:r>
            <w:r w:rsidR="00787C76">
              <w:rPr>
                <w:noProof/>
                <w:webHidden/>
              </w:rPr>
              <w:instrText xml:space="preserve"> PAGEREF _Toc69807962 \h </w:instrText>
            </w:r>
            <w:r w:rsidR="00787C76">
              <w:rPr>
                <w:noProof/>
                <w:webHidden/>
              </w:rPr>
            </w:r>
            <w:r w:rsidR="00787C76">
              <w:rPr>
                <w:noProof/>
                <w:webHidden/>
              </w:rPr>
              <w:fldChar w:fldCharType="separate"/>
            </w:r>
            <w:r w:rsidR="00787C76">
              <w:rPr>
                <w:noProof/>
                <w:webHidden/>
              </w:rPr>
              <w:t>49</w:t>
            </w:r>
            <w:r w:rsidR="00787C76">
              <w:rPr>
                <w:noProof/>
                <w:webHidden/>
              </w:rPr>
              <w:fldChar w:fldCharType="end"/>
            </w:r>
          </w:hyperlink>
        </w:p>
        <w:p w14:paraId="56D45822"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63" w:history="1">
            <w:r w:rsidR="00787C76" w:rsidRPr="00843165">
              <w:rPr>
                <w:rStyle w:val="Lienhypertexte"/>
                <w:noProof/>
              </w:rPr>
              <w:t>HORIZON-MISS-2021-NEB-01-01: Support the deployment of lighthouse demonstrators for the New European Bauhaus initiative in the context of Horizon Europe missions</w:t>
            </w:r>
            <w:r w:rsidR="00787C76">
              <w:rPr>
                <w:noProof/>
                <w:webHidden/>
              </w:rPr>
              <w:tab/>
            </w:r>
            <w:r w:rsidR="00787C76">
              <w:rPr>
                <w:noProof/>
                <w:webHidden/>
              </w:rPr>
              <w:fldChar w:fldCharType="begin"/>
            </w:r>
            <w:r w:rsidR="00787C76">
              <w:rPr>
                <w:noProof/>
                <w:webHidden/>
              </w:rPr>
              <w:instrText xml:space="preserve"> PAGEREF _Toc69807963 \h </w:instrText>
            </w:r>
            <w:r w:rsidR="00787C76">
              <w:rPr>
                <w:noProof/>
                <w:webHidden/>
              </w:rPr>
            </w:r>
            <w:r w:rsidR="00787C76">
              <w:rPr>
                <w:noProof/>
                <w:webHidden/>
              </w:rPr>
              <w:fldChar w:fldCharType="separate"/>
            </w:r>
            <w:r w:rsidR="00787C76">
              <w:rPr>
                <w:noProof/>
                <w:webHidden/>
              </w:rPr>
              <w:t>50</w:t>
            </w:r>
            <w:r w:rsidR="00787C76">
              <w:rPr>
                <w:noProof/>
                <w:webHidden/>
              </w:rPr>
              <w:fldChar w:fldCharType="end"/>
            </w:r>
          </w:hyperlink>
        </w:p>
        <w:p w14:paraId="2B45E552"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64" w:history="1">
            <w:r w:rsidR="00787C76" w:rsidRPr="00843165">
              <w:rPr>
                <w:rStyle w:val="Lienhypertexte"/>
              </w:rPr>
              <w:t>Other Actions not subject to calls for proposals</w:t>
            </w:r>
            <w:r w:rsidR="00787C76">
              <w:rPr>
                <w:webHidden/>
              </w:rPr>
              <w:tab/>
            </w:r>
            <w:r w:rsidR="00787C76">
              <w:rPr>
                <w:webHidden/>
              </w:rPr>
              <w:fldChar w:fldCharType="begin"/>
            </w:r>
            <w:r w:rsidR="00787C76">
              <w:rPr>
                <w:webHidden/>
              </w:rPr>
              <w:instrText xml:space="preserve"> PAGEREF _Toc69807964 \h </w:instrText>
            </w:r>
            <w:r w:rsidR="00787C76">
              <w:rPr>
                <w:webHidden/>
              </w:rPr>
            </w:r>
            <w:r w:rsidR="00787C76">
              <w:rPr>
                <w:webHidden/>
              </w:rPr>
              <w:fldChar w:fldCharType="separate"/>
            </w:r>
            <w:r w:rsidR="00787C76">
              <w:rPr>
                <w:webHidden/>
              </w:rPr>
              <w:t>55</w:t>
            </w:r>
            <w:r w:rsidR="00787C76">
              <w:rPr>
                <w:webHidden/>
              </w:rPr>
              <w:fldChar w:fldCharType="end"/>
            </w:r>
          </w:hyperlink>
        </w:p>
        <w:p w14:paraId="337B53E1"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65" w:history="1">
            <w:r w:rsidR="00787C76" w:rsidRPr="00843165">
              <w:rPr>
                <w:rStyle w:val="Lienhypertexte"/>
                <w:noProof/>
              </w:rPr>
              <w:t>Indirectly managed actions</w:t>
            </w:r>
            <w:r w:rsidR="00787C76">
              <w:rPr>
                <w:noProof/>
                <w:webHidden/>
              </w:rPr>
              <w:tab/>
            </w:r>
            <w:r w:rsidR="00787C76">
              <w:rPr>
                <w:noProof/>
                <w:webHidden/>
              </w:rPr>
              <w:fldChar w:fldCharType="begin"/>
            </w:r>
            <w:r w:rsidR="00787C76">
              <w:rPr>
                <w:noProof/>
                <w:webHidden/>
              </w:rPr>
              <w:instrText xml:space="preserve"> PAGEREF _Toc69807965 \h </w:instrText>
            </w:r>
            <w:r w:rsidR="00787C76">
              <w:rPr>
                <w:noProof/>
                <w:webHidden/>
              </w:rPr>
            </w:r>
            <w:r w:rsidR="00787C76">
              <w:rPr>
                <w:noProof/>
                <w:webHidden/>
              </w:rPr>
              <w:fldChar w:fldCharType="separate"/>
            </w:r>
            <w:r w:rsidR="00787C76">
              <w:rPr>
                <w:noProof/>
                <w:webHidden/>
              </w:rPr>
              <w:t>55</w:t>
            </w:r>
            <w:r w:rsidR="00787C76">
              <w:rPr>
                <w:noProof/>
                <w:webHidden/>
              </w:rPr>
              <w:fldChar w:fldCharType="end"/>
            </w:r>
          </w:hyperlink>
        </w:p>
        <w:p w14:paraId="1D4DB775"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66" w:history="1">
            <w:r w:rsidR="00787C76" w:rsidRPr="00843165">
              <w:rPr>
                <w:rStyle w:val="Lienhypertexte"/>
                <w:noProof/>
              </w:rPr>
              <w:t>1. EIB Innovation Finance Advisory to support the implementation of EU Missions</w:t>
            </w:r>
            <w:r w:rsidR="00787C76">
              <w:rPr>
                <w:noProof/>
                <w:webHidden/>
              </w:rPr>
              <w:tab/>
            </w:r>
            <w:r w:rsidR="00787C76">
              <w:rPr>
                <w:noProof/>
                <w:webHidden/>
              </w:rPr>
              <w:fldChar w:fldCharType="begin"/>
            </w:r>
            <w:r w:rsidR="00787C76">
              <w:rPr>
                <w:noProof/>
                <w:webHidden/>
              </w:rPr>
              <w:instrText xml:space="preserve"> PAGEREF _Toc69807966 \h </w:instrText>
            </w:r>
            <w:r w:rsidR="00787C76">
              <w:rPr>
                <w:noProof/>
                <w:webHidden/>
              </w:rPr>
            </w:r>
            <w:r w:rsidR="00787C76">
              <w:rPr>
                <w:noProof/>
                <w:webHidden/>
              </w:rPr>
              <w:fldChar w:fldCharType="separate"/>
            </w:r>
            <w:r w:rsidR="00787C76">
              <w:rPr>
                <w:noProof/>
                <w:webHidden/>
              </w:rPr>
              <w:t>55</w:t>
            </w:r>
            <w:r w:rsidR="00787C76">
              <w:rPr>
                <w:noProof/>
                <w:webHidden/>
              </w:rPr>
              <w:fldChar w:fldCharType="end"/>
            </w:r>
          </w:hyperlink>
        </w:p>
        <w:p w14:paraId="4983B961"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67" w:history="1">
            <w:r w:rsidR="00787C76" w:rsidRPr="00843165">
              <w:rPr>
                <w:rStyle w:val="Lienhypertexte"/>
                <w:noProof/>
              </w:rPr>
              <w:t>Procurements</w:t>
            </w:r>
            <w:r w:rsidR="00787C76">
              <w:rPr>
                <w:noProof/>
                <w:webHidden/>
              </w:rPr>
              <w:tab/>
            </w:r>
            <w:r w:rsidR="00787C76">
              <w:rPr>
                <w:noProof/>
                <w:webHidden/>
              </w:rPr>
              <w:fldChar w:fldCharType="begin"/>
            </w:r>
            <w:r w:rsidR="00787C76">
              <w:rPr>
                <w:noProof/>
                <w:webHidden/>
              </w:rPr>
              <w:instrText xml:space="preserve"> PAGEREF _Toc69807967 \h </w:instrText>
            </w:r>
            <w:r w:rsidR="00787C76">
              <w:rPr>
                <w:noProof/>
                <w:webHidden/>
              </w:rPr>
            </w:r>
            <w:r w:rsidR="00787C76">
              <w:rPr>
                <w:noProof/>
                <w:webHidden/>
              </w:rPr>
              <w:fldChar w:fldCharType="separate"/>
            </w:r>
            <w:r w:rsidR="00787C76">
              <w:rPr>
                <w:noProof/>
                <w:webHidden/>
              </w:rPr>
              <w:t>57</w:t>
            </w:r>
            <w:r w:rsidR="00787C76">
              <w:rPr>
                <w:noProof/>
                <w:webHidden/>
              </w:rPr>
              <w:fldChar w:fldCharType="end"/>
            </w:r>
          </w:hyperlink>
        </w:p>
        <w:p w14:paraId="5D6B88B7"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68" w:history="1">
            <w:r w:rsidR="00787C76" w:rsidRPr="00843165">
              <w:rPr>
                <w:rStyle w:val="Lienhypertexte"/>
                <w:noProof/>
              </w:rPr>
              <w:t>1. Informing citizens and stakeholders about EU Missions and engaging them in the implementation of EU Missions</w:t>
            </w:r>
            <w:r w:rsidR="00787C76">
              <w:rPr>
                <w:noProof/>
                <w:webHidden/>
              </w:rPr>
              <w:tab/>
            </w:r>
            <w:r w:rsidR="00787C76">
              <w:rPr>
                <w:noProof/>
                <w:webHidden/>
              </w:rPr>
              <w:fldChar w:fldCharType="begin"/>
            </w:r>
            <w:r w:rsidR="00787C76">
              <w:rPr>
                <w:noProof/>
                <w:webHidden/>
              </w:rPr>
              <w:instrText xml:space="preserve"> PAGEREF _Toc69807968 \h </w:instrText>
            </w:r>
            <w:r w:rsidR="00787C76">
              <w:rPr>
                <w:noProof/>
                <w:webHidden/>
              </w:rPr>
            </w:r>
            <w:r w:rsidR="00787C76">
              <w:rPr>
                <w:noProof/>
                <w:webHidden/>
              </w:rPr>
              <w:fldChar w:fldCharType="separate"/>
            </w:r>
            <w:r w:rsidR="00787C76">
              <w:rPr>
                <w:noProof/>
                <w:webHidden/>
              </w:rPr>
              <w:t>57</w:t>
            </w:r>
            <w:r w:rsidR="00787C76">
              <w:rPr>
                <w:noProof/>
                <w:webHidden/>
              </w:rPr>
              <w:fldChar w:fldCharType="end"/>
            </w:r>
          </w:hyperlink>
        </w:p>
        <w:p w14:paraId="0168C374"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69" w:history="1">
            <w:r w:rsidR="00787C76" w:rsidRPr="00843165">
              <w:rPr>
                <w:rStyle w:val="Lienhypertexte"/>
                <w:noProof/>
              </w:rPr>
              <w:t>2. Procurement actions to support the mission on cancer</w:t>
            </w:r>
            <w:r w:rsidR="00787C76">
              <w:rPr>
                <w:noProof/>
                <w:webHidden/>
              </w:rPr>
              <w:tab/>
            </w:r>
            <w:r w:rsidR="00787C76">
              <w:rPr>
                <w:noProof/>
                <w:webHidden/>
              </w:rPr>
              <w:fldChar w:fldCharType="begin"/>
            </w:r>
            <w:r w:rsidR="00787C76">
              <w:rPr>
                <w:noProof/>
                <w:webHidden/>
              </w:rPr>
              <w:instrText xml:space="preserve"> PAGEREF _Toc69807969 \h </w:instrText>
            </w:r>
            <w:r w:rsidR="00787C76">
              <w:rPr>
                <w:noProof/>
                <w:webHidden/>
              </w:rPr>
            </w:r>
            <w:r w:rsidR="00787C76">
              <w:rPr>
                <w:noProof/>
                <w:webHidden/>
              </w:rPr>
              <w:fldChar w:fldCharType="separate"/>
            </w:r>
            <w:r w:rsidR="00787C76">
              <w:rPr>
                <w:noProof/>
                <w:webHidden/>
              </w:rPr>
              <w:t>58</w:t>
            </w:r>
            <w:r w:rsidR="00787C76">
              <w:rPr>
                <w:noProof/>
                <w:webHidden/>
              </w:rPr>
              <w:fldChar w:fldCharType="end"/>
            </w:r>
          </w:hyperlink>
        </w:p>
        <w:p w14:paraId="2B1EECFE"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70" w:history="1">
            <w:r w:rsidR="00787C76" w:rsidRPr="00843165">
              <w:rPr>
                <w:rStyle w:val="Lienhypertexte"/>
                <w:noProof/>
              </w:rPr>
              <w:t>Other budget implementation instruments</w:t>
            </w:r>
            <w:r w:rsidR="00787C76">
              <w:rPr>
                <w:noProof/>
                <w:webHidden/>
              </w:rPr>
              <w:tab/>
            </w:r>
            <w:r w:rsidR="00787C76">
              <w:rPr>
                <w:noProof/>
                <w:webHidden/>
              </w:rPr>
              <w:fldChar w:fldCharType="begin"/>
            </w:r>
            <w:r w:rsidR="00787C76">
              <w:rPr>
                <w:noProof/>
                <w:webHidden/>
              </w:rPr>
              <w:instrText xml:space="preserve"> PAGEREF _Toc69807970 \h </w:instrText>
            </w:r>
            <w:r w:rsidR="00787C76">
              <w:rPr>
                <w:noProof/>
                <w:webHidden/>
              </w:rPr>
            </w:r>
            <w:r w:rsidR="00787C76">
              <w:rPr>
                <w:noProof/>
                <w:webHidden/>
              </w:rPr>
              <w:fldChar w:fldCharType="separate"/>
            </w:r>
            <w:r w:rsidR="00787C76">
              <w:rPr>
                <w:noProof/>
                <w:webHidden/>
              </w:rPr>
              <w:t>59</w:t>
            </w:r>
            <w:r w:rsidR="00787C76">
              <w:rPr>
                <w:noProof/>
                <w:webHidden/>
              </w:rPr>
              <w:fldChar w:fldCharType="end"/>
            </w:r>
          </w:hyperlink>
        </w:p>
        <w:p w14:paraId="5C769A6C"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71" w:history="1">
            <w:r w:rsidR="00787C76" w:rsidRPr="00843165">
              <w:rPr>
                <w:rStyle w:val="Lienhypertexte"/>
                <w:noProof/>
              </w:rPr>
              <w:t>1. External expertise for advice on the next phases of the design and implementation of missions for Horizon Europe</w:t>
            </w:r>
            <w:r w:rsidR="00787C76">
              <w:rPr>
                <w:noProof/>
                <w:webHidden/>
              </w:rPr>
              <w:tab/>
            </w:r>
            <w:r w:rsidR="00787C76">
              <w:rPr>
                <w:noProof/>
                <w:webHidden/>
              </w:rPr>
              <w:fldChar w:fldCharType="begin"/>
            </w:r>
            <w:r w:rsidR="00787C76">
              <w:rPr>
                <w:noProof/>
                <w:webHidden/>
              </w:rPr>
              <w:instrText xml:space="preserve"> PAGEREF _Toc69807971 \h </w:instrText>
            </w:r>
            <w:r w:rsidR="00787C76">
              <w:rPr>
                <w:noProof/>
                <w:webHidden/>
              </w:rPr>
            </w:r>
            <w:r w:rsidR="00787C76">
              <w:rPr>
                <w:noProof/>
                <w:webHidden/>
              </w:rPr>
              <w:fldChar w:fldCharType="separate"/>
            </w:r>
            <w:r w:rsidR="00787C76">
              <w:rPr>
                <w:noProof/>
                <w:webHidden/>
              </w:rPr>
              <w:t>59</w:t>
            </w:r>
            <w:r w:rsidR="00787C76">
              <w:rPr>
                <w:noProof/>
                <w:webHidden/>
              </w:rPr>
              <w:fldChar w:fldCharType="end"/>
            </w:r>
          </w:hyperlink>
        </w:p>
        <w:p w14:paraId="4D0F17E2"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72" w:history="1">
            <w:r w:rsidR="00787C76" w:rsidRPr="00843165">
              <w:rPr>
                <w:rStyle w:val="Lienhypertexte"/>
                <w:noProof/>
              </w:rPr>
              <w:t>Scientific and technical services by the Joint Research Centre</w:t>
            </w:r>
            <w:r w:rsidR="00787C76">
              <w:rPr>
                <w:noProof/>
                <w:webHidden/>
              </w:rPr>
              <w:tab/>
            </w:r>
            <w:r w:rsidR="00787C76">
              <w:rPr>
                <w:noProof/>
                <w:webHidden/>
              </w:rPr>
              <w:fldChar w:fldCharType="begin"/>
            </w:r>
            <w:r w:rsidR="00787C76">
              <w:rPr>
                <w:noProof/>
                <w:webHidden/>
              </w:rPr>
              <w:instrText xml:space="preserve"> PAGEREF _Toc69807972 \h </w:instrText>
            </w:r>
            <w:r w:rsidR="00787C76">
              <w:rPr>
                <w:noProof/>
                <w:webHidden/>
              </w:rPr>
            </w:r>
            <w:r w:rsidR="00787C76">
              <w:rPr>
                <w:noProof/>
                <w:webHidden/>
              </w:rPr>
              <w:fldChar w:fldCharType="separate"/>
            </w:r>
            <w:r w:rsidR="00787C76">
              <w:rPr>
                <w:noProof/>
                <w:webHidden/>
              </w:rPr>
              <w:t>61</w:t>
            </w:r>
            <w:r w:rsidR="00787C76">
              <w:rPr>
                <w:noProof/>
                <w:webHidden/>
              </w:rPr>
              <w:fldChar w:fldCharType="end"/>
            </w:r>
          </w:hyperlink>
        </w:p>
        <w:p w14:paraId="571417CF"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73" w:history="1">
            <w:r w:rsidR="00787C76" w:rsidRPr="00843165">
              <w:rPr>
                <w:rStyle w:val="Lienhypertexte"/>
                <w:noProof/>
              </w:rPr>
              <w:t>1. Scientific and technical services to the Mission on ‘Climate-neutral and smart cities’</w:t>
            </w:r>
            <w:r w:rsidR="00787C76">
              <w:rPr>
                <w:noProof/>
                <w:webHidden/>
              </w:rPr>
              <w:tab/>
            </w:r>
            <w:r w:rsidR="00787C76">
              <w:rPr>
                <w:noProof/>
                <w:webHidden/>
              </w:rPr>
              <w:fldChar w:fldCharType="begin"/>
            </w:r>
            <w:r w:rsidR="00787C76">
              <w:rPr>
                <w:noProof/>
                <w:webHidden/>
              </w:rPr>
              <w:instrText xml:space="preserve"> PAGEREF _Toc69807973 \h </w:instrText>
            </w:r>
            <w:r w:rsidR="00787C76">
              <w:rPr>
                <w:noProof/>
                <w:webHidden/>
              </w:rPr>
            </w:r>
            <w:r w:rsidR="00787C76">
              <w:rPr>
                <w:noProof/>
                <w:webHidden/>
              </w:rPr>
              <w:fldChar w:fldCharType="separate"/>
            </w:r>
            <w:r w:rsidR="00787C76">
              <w:rPr>
                <w:noProof/>
                <w:webHidden/>
              </w:rPr>
              <w:t>61</w:t>
            </w:r>
            <w:r w:rsidR="00787C76">
              <w:rPr>
                <w:noProof/>
                <w:webHidden/>
              </w:rPr>
              <w:fldChar w:fldCharType="end"/>
            </w:r>
          </w:hyperlink>
        </w:p>
        <w:p w14:paraId="38E250D1" w14:textId="77777777" w:rsidR="00787C76" w:rsidRDefault="005E4C75">
          <w:pPr>
            <w:pStyle w:val="TM2"/>
            <w:tabs>
              <w:tab w:val="right" w:leader="dot" w:pos="9062"/>
            </w:tabs>
            <w:rPr>
              <w:rFonts w:asciiTheme="minorHAnsi" w:hAnsiTheme="minorHAnsi"/>
              <w:b w:val="0"/>
              <w:bCs w:val="0"/>
              <w:noProof/>
              <w:sz w:val="22"/>
              <w:szCs w:val="22"/>
              <w:lang w:val="en-US" w:eastAsia="en-US"/>
            </w:rPr>
          </w:pPr>
          <w:hyperlink w:anchor="_Toc69807974" w:history="1">
            <w:r w:rsidR="00787C76" w:rsidRPr="00843165">
              <w:rPr>
                <w:rStyle w:val="Lienhypertexte"/>
                <w:noProof/>
              </w:rPr>
              <w:t>Grant to identified beneficiaries</w:t>
            </w:r>
            <w:r w:rsidR="00787C76">
              <w:rPr>
                <w:noProof/>
                <w:webHidden/>
              </w:rPr>
              <w:tab/>
            </w:r>
            <w:r w:rsidR="00787C76">
              <w:rPr>
                <w:noProof/>
                <w:webHidden/>
              </w:rPr>
              <w:fldChar w:fldCharType="begin"/>
            </w:r>
            <w:r w:rsidR="00787C76">
              <w:rPr>
                <w:noProof/>
                <w:webHidden/>
              </w:rPr>
              <w:instrText xml:space="preserve"> PAGEREF _Toc69807974 \h </w:instrText>
            </w:r>
            <w:r w:rsidR="00787C76">
              <w:rPr>
                <w:noProof/>
                <w:webHidden/>
              </w:rPr>
            </w:r>
            <w:r w:rsidR="00787C76">
              <w:rPr>
                <w:noProof/>
                <w:webHidden/>
              </w:rPr>
              <w:fldChar w:fldCharType="separate"/>
            </w:r>
            <w:r w:rsidR="00787C76">
              <w:rPr>
                <w:noProof/>
                <w:webHidden/>
              </w:rPr>
              <w:t>62</w:t>
            </w:r>
            <w:r w:rsidR="00787C76">
              <w:rPr>
                <w:noProof/>
                <w:webHidden/>
              </w:rPr>
              <w:fldChar w:fldCharType="end"/>
            </w:r>
          </w:hyperlink>
        </w:p>
        <w:p w14:paraId="5D433BFD" w14:textId="77777777" w:rsidR="00787C76" w:rsidRDefault="005E4C75">
          <w:pPr>
            <w:pStyle w:val="TM3"/>
            <w:tabs>
              <w:tab w:val="right" w:leader="dot" w:pos="9062"/>
            </w:tabs>
            <w:rPr>
              <w:rFonts w:asciiTheme="minorHAnsi" w:hAnsiTheme="minorHAnsi"/>
              <w:noProof/>
              <w:sz w:val="22"/>
              <w:szCs w:val="22"/>
              <w:lang w:val="en-US" w:eastAsia="en-US"/>
            </w:rPr>
          </w:pPr>
          <w:hyperlink w:anchor="_Toc69807975" w:history="1">
            <w:r w:rsidR="00787C76" w:rsidRPr="00843165">
              <w:rPr>
                <w:rStyle w:val="Lienhypertexte"/>
                <w:noProof/>
              </w:rPr>
              <w:t xml:space="preserve">1. OECD Benchmarking Study on Missions Implementation </w:t>
            </w:r>
            <w:r w:rsidR="00787C76">
              <w:rPr>
                <w:noProof/>
                <w:webHidden/>
              </w:rPr>
              <w:tab/>
            </w:r>
            <w:r w:rsidR="00787C76">
              <w:rPr>
                <w:noProof/>
                <w:webHidden/>
              </w:rPr>
              <w:fldChar w:fldCharType="begin"/>
            </w:r>
            <w:r w:rsidR="00787C76">
              <w:rPr>
                <w:noProof/>
                <w:webHidden/>
              </w:rPr>
              <w:instrText xml:space="preserve"> PAGEREF _Toc69807975 \h </w:instrText>
            </w:r>
            <w:r w:rsidR="00787C76">
              <w:rPr>
                <w:noProof/>
                <w:webHidden/>
              </w:rPr>
            </w:r>
            <w:r w:rsidR="00787C76">
              <w:rPr>
                <w:noProof/>
                <w:webHidden/>
              </w:rPr>
              <w:fldChar w:fldCharType="separate"/>
            </w:r>
            <w:r w:rsidR="00787C76">
              <w:rPr>
                <w:noProof/>
                <w:webHidden/>
              </w:rPr>
              <w:t>62</w:t>
            </w:r>
            <w:r w:rsidR="00787C76">
              <w:rPr>
                <w:noProof/>
                <w:webHidden/>
              </w:rPr>
              <w:fldChar w:fldCharType="end"/>
            </w:r>
          </w:hyperlink>
        </w:p>
        <w:p w14:paraId="77613F7C" w14:textId="77777777" w:rsidR="00787C76" w:rsidRDefault="005E4C75">
          <w:pPr>
            <w:pStyle w:val="TM1"/>
            <w:tabs>
              <w:tab w:val="right" w:leader="dot" w:pos="9062"/>
            </w:tabs>
            <w:rPr>
              <w:rFonts w:asciiTheme="minorHAnsi" w:hAnsiTheme="minorHAnsi"/>
              <w:b w:val="0"/>
              <w:bCs w:val="0"/>
              <w:sz w:val="22"/>
              <w:szCs w:val="22"/>
              <w:lang w:eastAsia="en-US"/>
            </w:rPr>
          </w:pPr>
          <w:hyperlink w:anchor="_Toc69807976" w:history="1">
            <w:r w:rsidR="00787C76" w:rsidRPr="00843165">
              <w:rPr>
                <w:rStyle w:val="Lienhypertexte"/>
              </w:rPr>
              <w:t>Budget</w:t>
            </w:r>
            <w:r w:rsidR="00787C76">
              <w:rPr>
                <w:webHidden/>
              </w:rPr>
              <w:tab/>
            </w:r>
            <w:r w:rsidR="00787C76">
              <w:rPr>
                <w:webHidden/>
              </w:rPr>
              <w:fldChar w:fldCharType="begin"/>
            </w:r>
            <w:r w:rsidR="00787C76">
              <w:rPr>
                <w:webHidden/>
              </w:rPr>
              <w:instrText xml:space="preserve"> PAGEREF _Toc69807976 \h </w:instrText>
            </w:r>
            <w:r w:rsidR="00787C76">
              <w:rPr>
                <w:webHidden/>
              </w:rPr>
            </w:r>
            <w:r w:rsidR="00787C76">
              <w:rPr>
                <w:webHidden/>
              </w:rPr>
              <w:fldChar w:fldCharType="separate"/>
            </w:r>
            <w:r w:rsidR="00787C76">
              <w:rPr>
                <w:webHidden/>
              </w:rPr>
              <w:t>64</w:t>
            </w:r>
            <w:r w:rsidR="00787C76">
              <w:rPr>
                <w:webHidden/>
              </w:rPr>
              <w:fldChar w:fldCharType="end"/>
            </w:r>
          </w:hyperlink>
        </w:p>
        <w:p w14:paraId="68CD6B6F" w14:textId="77777777" w:rsidR="00112F79" w:rsidRDefault="00787C76">
          <w:r>
            <w:rPr>
              <w:b/>
              <w:bCs/>
              <w:noProof/>
              <w:lang w:val="en-US"/>
            </w:rPr>
            <w:fldChar w:fldCharType="end"/>
          </w:r>
        </w:p>
      </w:sdtContent>
    </w:sdt>
    <w:p w14:paraId="2B9F770A" w14:textId="77777777" w:rsidR="00401FAE" w:rsidRDefault="00401FAE"/>
    <w:p w14:paraId="1FA67BD3" w14:textId="77777777" w:rsidR="00401FAE" w:rsidRDefault="00787C76">
      <w:pPr>
        <w:pStyle w:val="HeadingOne"/>
        <w:pageBreakBefore/>
      </w:pPr>
      <w:bookmarkStart w:id="0" w:name="_Toc69807934"/>
      <w:r>
        <w:t>Introduction</w:t>
      </w:r>
      <w:bookmarkEnd w:id="0"/>
    </w:p>
    <w:p w14:paraId="50E9022D" w14:textId="77777777" w:rsidR="00401FAE" w:rsidRDefault="00787C76">
      <w:r>
        <w:rPr>
          <w:color w:val="000000"/>
        </w:rPr>
        <w:t xml:space="preserve">Missions aim to address some of the greatest challenges facing our society. They are bold and inspirational with clear objectives that are time-bound, realistic, measurable and targeted. </w:t>
      </w:r>
    </w:p>
    <w:p w14:paraId="16055EDA" w14:textId="77777777" w:rsidR="00401FAE" w:rsidRDefault="00787C76">
      <w:r>
        <w:rPr>
          <w:color w:val="000000"/>
        </w:rPr>
        <w:t xml:space="preserve">Rooted in research and innovation, missions aim to tackle societal challenges with systemic solutions, leading to societal transformations and social impact. </w:t>
      </w:r>
    </w:p>
    <w:p w14:paraId="67149740" w14:textId="77777777" w:rsidR="00401FAE" w:rsidRDefault="00787C76">
      <w:r>
        <w:rPr>
          <w:color w:val="000000"/>
        </w:rPr>
        <w:t xml:space="preserve">Missions will help deliver key EU policy priorities such as the European Green Deal, Europe’s Beating Cancer Plan, NextGenerationEU, the EU Industrial Strategy and A Europe fit for the Digital Age, amongst others. </w:t>
      </w:r>
    </w:p>
    <w:p w14:paraId="1BFB6C16" w14:textId="77777777" w:rsidR="00401FAE" w:rsidRDefault="00787C76">
      <w:r>
        <w:rPr>
          <w:color w:val="000000"/>
        </w:rPr>
        <w:t>To achieve their goals and promote societal change, missions will implement the reuse and reproducibility of research results such as FAIR research data and open access to scientific publications. Also, the missions will closely involve citizens in their preparation, implementation and monitoring throughout their duration, also showcasing the added value of the EU.</w:t>
      </w:r>
    </w:p>
    <w:p w14:paraId="176E48CF" w14:textId="77777777" w:rsidR="00401FAE" w:rsidRDefault="00787C76">
      <w:r>
        <w:rPr>
          <w:color w:val="000000"/>
        </w:rPr>
        <w:t>Missions are a novel instrument in Horizon Europe - the Framework Programme for Research and Innovation. For their successful implementation they will work in synergy and coordination with other missions, parts of Horizon Europe, in particular with European Partnerships and Clusters, as well as with other EU funding instruments and policies. Furthermore, they will need to be implemented in close synergy with funding, programmes and strategies both at Member State / Associated Country and regional level, as well as with civil society and the private sector.</w:t>
      </w:r>
    </w:p>
    <w:p w14:paraId="7CEBE53E" w14:textId="77777777" w:rsidR="00401FAE" w:rsidRDefault="00787C76">
      <w:r>
        <w:rPr>
          <w:color w:val="000000"/>
        </w:rPr>
        <w:t>Five mission areas have been included in the Horizon Europe Regulation (Adaptation to Climate Change, including Societal Transformation; Cancer; Healthy Ocean, Seas, Coastal and Inland Waters; Climate-Neutral and Smart Cities; Soil Health and Food). Mission boards, comprised of external experts with a wide variety of backgrounds, have been established to advise the Commission on possible missions within the scope of these areas. On the basis of reports from the five mission boards, the Commission has identified the following titles for missions in the Horizon Europe Strategic Plan, subject to further refinement:</w:t>
      </w:r>
    </w:p>
    <w:p w14:paraId="00C676A3" w14:textId="77777777" w:rsidR="00401FAE" w:rsidRDefault="00787C76" w:rsidP="00787C76">
      <w:pPr>
        <w:pStyle w:val="Paragraphedeliste"/>
        <w:numPr>
          <w:ilvl w:val="0"/>
          <w:numId w:val="6"/>
        </w:numPr>
      </w:pPr>
      <w:r>
        <w:rPr>
          <w:color w:val="000000"/>
        </w:rPr>
        <w:t>Adaptation to Climate Change;</w:t>
      </w:r>
    </w:p>
    <w:p w14:paraId="58C1E91C" w14:textId="77777777" w:rsidR="00401FAE" w:rsidRDefault="00787C76" w:rsidP="00787C76">
      <w:pPr>
        <w:pStyle w:val="Paragraphedeliste"/>
        <w:numPr>
          <w:ilvl w:val="0"/>
          <w:numId w:val="6"/>
        </w:numPr>
      </w:pPr>
      <w:r>
        <w:rPr>
          <w:color w:val="000000"/>
        </w:rPr>
        <w:t>Cancer;</w:t>
      </w:r>
    </w:p>
    <w:p w14:paraId="2218C339" w14:textId="77777777" w:rsidR="00401FAE" w:rsidRDefault="00787C76" w:rsidP="00787C76">
      <w:pPr>
        <w:pStyle w:val="Paragraphedeliste"/>
        <w:numPr>
          <w:ilvl w:val="0"/>
          <w:numId w:val="6"/>
        </w:numPr>
      </w:pPr>
      <w:r>
        <w:rPr>
          <w:color w:val="000000"/>
        </w:rPr>
        <w:t>Climate-Neutral and Smart Cities;</w:t>
      </w:r>
    </w:p>
    <w:p w14:paraId="2B061DCD" w14:textId="77777777" w:rsidR="00401FAE" w:rsidRDefault="00787C76" w:rsidP="00787C76">
      <w:pPr>
        <w:pStyle w:val="Paragraphedeliste"/>
        <w:numPr>
          <w:ilvl w:val="0"/>
          <w:numId w:val="6"/>
        </w:numPr>
      </w:pPr>
      <w:r>
        <w:rPr>
          <w:color w:val="000000"/>
        </w:rPr>
        <w:t>Ocean, Seas and Waters;</w:t>
      </w:r>
    </w:p>
    <w:p w14:paraId="24B20EE0" w14:textId="77777777" w:rsidR="00401FAE" w:rsidRDefault="00787C76" w:rsidP="00787C76">
      <w:pPr>
        <w:pStyle w:val="Paragraphedeliste"/>
        <w:numPr>
          <w:ilvl w:val="0"/>
          <w:numId w:val="6"/>
        </w:numPr>
      </w:pPr>
      <w:r>
        <w:rPr>
          <w:color w:val="000000"/>
        </w:rPr>
        <w:t xml:space="preserve">Soil Health and Food.  </w:t>
      </w:r>
    </w:p>
    <w:p w14:paraId="5DF17333" w14:textId="77777777" w:rsidR="00401FAE" w:rsidRDefault="00787C76">
      <w:r>
        <w:rPr>
          <w:color w:val="000000"/>
        </w:rPr>
        <w:t>Each of the five identified missions is now in a preparatory phase, during which implementation plans will be developed, which will include the detailed objectives, specific interventions, investment strategy and performance indicators for each mission. When finalised, within a period of maximum one year, these implementation plans will be assessed against objective criteria</w:t>
      </w:r>
      <w:r>
        <w:rPr>
          <w:vertAlign w:val="superscript"/>
        </w:rPr>
        <w:footnoteReference w:id="1"/>
      </w:r>
      <w:r>
        <w:rPr>
          <w:color w:val="000000"/>
        </w:rPr>
        <w:t>. This assessment will form the basis for a decision on which missions will enter full implementation.</w:t>
      </w:r>
    </w:p>
    <w:p w14:paraId="12DD64D7" w14:textId="77777777" w:rsidR="00401FAE" w:rsidRDefault="00787C76">
      <w:r>
        <w:rPr>
          <w:color w:val="000000"/>
        </w:rPr>
        <w:t>This work programme part for the moment contains actions for each of the five missions during their preparatory phase, and will be updated with the full R&amp;I agenda when the implementation phase is launched. The actions included in this work programme are to establish foundations for the missions’ implementation phase and thus support rapid development of the R&amp;I actions when these are launched.</w:t>
      </w:r>
      <w:r>
        <w:rPr>
          <w:b/>
          <w:color w:val="000000"/>
        </w:rPr>
        <w:t xml:space="preserve"> </w:t>
      </w:r>
    </w:p>
    <w:p w14:paraId="52724281" w14:textId="77777777" w:rsidR="00401FAE" w:rsidRDefault="00787C76">
      <w:r>
        <w:rPr>
          <w:color w:val="000000"/>
        </w:rPr>
        <w:t xml:space="preserve">Critical to the success of the missions will be the extent of wide engagement across the EU and Associated Countries and beyond. To facilitate this, an action to develop a network coordinating complementary actions for missions is proposed, with the possibility that this might be extended at a later date with national hubs. </w:t>
      </w:r>
    </w:p>
    <w:p w14:paraId="046E23C3" w14:textId="77777777" w:rsidR="00401FAE" w:rsidRDefault="00787C76">
      <w:r>
        <w:rPr>
          <w:color w:val="000000"/>
        </w:rPr>
        <w:t>The introduction to this work programme will be updated for the implementation phase, including a more detailed presentation of the relationship between missions and the expected impacts of the Strategic Plan.</w:t>
      </w:r>
    </w:p>
    <w:p w14:paraId="105E9B9A" w14:textId="77777777" w:rsidR="00401FAE" w:rsidRDefault="00787C76">
      <w:pPr>
        <w:pStyle w:val="HeadingOne"/>
        <w:pageBreakBefore/>
      </w:pPr>
      <w:bookmarkStart w:id="1" w:name="_Toc69807935"/>
      <w:r>
        <w:t>Mission: Adaptation to climate change</w:t>
      </w:r>
      <w:bookmarkEnd w:id="1"/>
    </w:p>
    <w:p w14:paraId="1884196C" w14:textId="77777777" w:rsidR="00401FAE" w:rsidRDefault="00787C76">
      <w:r>
        <w:rPr>
          <w:color w:val="000000"/>
        </w:rPr>
        <w:t>The global climate crisis is an existential threat to the world as we know it. Reducing greenhouse gas emissions is crucial, but even stopping all emissions would not stop the climate impacts that are already occurring, and which are likely to continue for decades. The COVID-19 pandemic has taught us a lesson about how closely connected environmental, societal and human health issues are. What we have lived through and still will is a foretaste of the shocks that climate change will increasingly cause in the future. But we can break the vicious circle of living on environmental debt and restore planetary health. This identified mission seeks to turn the urgent challenge of adapting to climate change into an opportunity to make Europe more climate resilient, prepared, competitive and just.</w:t>
      </w:r>
    </w:p>
    <w:p w14:paraId="1ECFF9BC" w14:textId="77777777" w:rsidR="00401FAE" w:rsidRDefault="00787C76">
      <w:r>
        <w:rPr>
          <w:color w:val="000000"/>
        </w:rPr>
        <w:t>The success of adaptation measures is highly context‑dependent and therefore, much of the action to adapt to climate change will take place at the regional and local level. Across Europe adaptation action varies considerably: there are locations with an advanced understanding of their climate risks and measures available to mitigate such risks, while there are other with little knowledge on the risks and solutions available. There is a need to create a level playing field, and support regional and local authorities in preparing the ground to engage in climate resilience building with due regard to national specificities.</w:t>
      </w:r>
    </w:p>
    <w:p w14:paraId="2BAC6F4C" w14:textId="77777777" w:rsidR="00401FAE" w:rsidRDefault="00787C76">
      <w:r>
        <w:rPr>
          <w:color w:val="000000"/>
        </w:rPr>
        <w:t>Climate resilience is understood to include three fundamental and interrelated dimensions and principles: resilience of environmental systems, resilience of social and economic systems, and resilience of political systems.</w:t>
      </w:r>
    </w:p>
    <w:p w14:paraId="113693D3" w14:textId="77777777" w:rsidR="00401FAE" w:rsidRDefault="00787C76" w:rsidP="00787C76">
      <w:pPr>
        <w:pStyle w:val="Paragraphedeliste"/>
        <w:numPr>
          <w:ilvl w:val="0"/>
          <w:numId w:val="7"/>
        </w:numPr>
      </w:pPr>
      <w:r>
        <w:rPr>
          <w:color w:val="000000"/>
        </w:rPr>
        <w:t>Resilience of environmental systems with a commitment to long-term sustainability, in which the precautionary and do no harm principles are embedded in the efforts to regenerate critical community systems most affected by climate impacts.</w:t>
      </w:r>
    </w:p>
    <w:p w14:paraId="75D1B7A0" w14:textId="77777777" w:rsidR="00401FAE" w:rsidRDefault="00787C76" w:rsidP="00787C76">
      <w:pPr>
        <w:pStyle w:val="Paragraphedeliste"/>
        <w:numPr>
          <w:ilvl w:val="0"/>
          <w:numId w:val="7"/>
        </w:numPr>
      </w:pPr>
      <w:r>
        <w:rPr>
          <w:color w:val="000000"/>
        </w:rPr>
        <w:t>Resilience of social and economic systems with a commitment to equity, inclusiveness, social and gender justice, to engage children and youth, and to leave no one behind.</w:t>
      </w:r>
    </w:p>
    <w:p w14:paraId="097E7B40" w14:textId="77777777" w:rsidR="00401FAE" w:rsidRDefault="00787C76" w:rsidP="00787C76">
      <w:pPr>
        <w:pStyle w:val="Paragraphedeliste"/>
        <w:numPr>
          <w:ilvl w:val="0"/>
          <w:numId w:val="7"/>
        </w:numPr>
      </w:pPr>
      <w:r>
        <w:rPr>
          <w:color w:val="000000"/>
        </w:rPr>
        <w:t xml:space="preserve">Resilience of political systems, with a commitment to inclusiveness, deliberation, shared values, solidarity and respect for diversity. </w:t>
      </w:r>
    </w:p>
    <w:p w14:paraId="544AFF1F" w14:textId="77777777" w:rsidR="00401FAE" w:rsidRDefault="00787C76">
      <w:r>
        <w:rPr>
          <w:color w:val="000000"/>
        </w:rPr>
        <w:t xml:space="preserve">Full implementation of the mission is subject to confirmation following the preparatory phase. </w:t>
      </w:r>
    </w:p>
    <w:p w14:paraId="5C2A1CEE" w14:textId="77777777" w:rsidR="00401FAE" w:rsidRDefault="00787C76">
      <w:r>
        <w:rPr>
          <w:color w:val="000000"/>
        </w:rPr>
        <w:t>Proposals for the topic under this identified mission area should set out credible pathways to prepare regional and local authorities, citizens and other stakeholders to build resilience to climate change and more specifically to achieve all of the following expected impacts:</w:t>
      </w:r>
    </w:p>
    <w:p w14:paraId="56A4BA0A" w14:textId="77777777" w:rsidR="00401FAE" w:rsidRDefault="00787C76" w:rsidP="00787C76">
      <w:pPr>
        <w:pStyle w:val="Paragraphedeliste"/>
        <w:numPr>
          <w:ilvl w:val="0"/>
          <w:numId w:val="8"/>
        </w:numPr>
      </w:pPr>
      <w:r>
        <w:rPr>
          <w:color w:val="000000"/>
        </w:rPr>
        <w:t xml:space="preserve">Improved understanding at local or regional level of climate risks, solutions available to mitigate such risks and ways to achieve climate resilience, building on available knowledge of climate change impacts and adaption options; </w:t>
      </w:r>
    </w:p>
    <w:p w14:paraId="0881FAD6" w14:textId="77777777" w:rsidR="00401FAE" w:rsidRDefault="00787C76" w:rsidP="00787C76">
      <w:pPr>
        <w:pStyle w:val="Paragraphedeliste"/>
        <w:numPr>
          <w:ilvl w:val="0"/>
          <w:numId w:val="8"/>
        </w:numPr>
      </w:pPr>
      <w:r>
        <w:rPr>
          <w:color w:val="000000"/>
        </w:rPr>
        <w:t xml:space="preserve">Foster the co-design, co-implementation and co-evaluation of researchers and innovators with authorities, citizens and other stakeholders (including social partners) in the process of building resilience to climate change; </w:t>
      </w:r>
    </w:p>
    <w:p w14:paraId="7D80981D" w14:textId="77777777" w:rsidR="00401FAE" w:rsidRDefault="00787C76" w:rsidP="00787C76">
      <w:pPr>
        <w:pStyle w:val="Paragraphedeliste"/>
        <w:numPr>
          <w:ilvl w:val="0"/>
          <w:numId w:val="8"/>
        </w:numPr>
      </w:pPr>
      <w:r>
        <w:rPr>
          <w:color w:val="000000"/>
        </w:rPr>
        <w:t xml:space="preserve">Increased access at the regional and local level to funding and financing opportunities, including from private sources, for upscaling of innovative adaptation solutions.  </w:t>
      </w:r>
    </w:p>
    <w:p w14:paraId="49588F77"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4"/>
        <w:gridCol w:w="2000"/>
        <w:gridCol w:w="1430"/>
      </w:tblGrid>
      <w:tr w:rsidR="00401FAE" w14:paraId="67E8D721" w14:textId="77777777">
        <w:tc>
          <w:tcPr>
            <w:tcW w:w="0" w:type="auto"/>
            <w:vMerge w:val="restart"/>
          </w:tcPr>
          <w:p w14:paraId="658496AE" w14:textId="77777777" w:rsidR="00401FAE" w:rsidRDefault="00787C76">
            <w:pPr>
              <w:pStyle w:val="CellHeaderTextValue"/>
            </w:pPr>
            <w:r>
              <w:t>Call</w:t>
            </w:r>
          </w:p>
        </w:tc>
        <w:tc>
          <w:tcPr>
            <w:tcW w:w="0" w:type="auto"/>
          </w:tcPr>
          <w:p w14:paraId="2A9571DF" w14:textId="77777777" w:rsidR="00401FAE" w:rsidRDefault="00787C76">
            <w:pPr>
              <w:pStyle w:val="CellHeaderTextValue"/>
            </w:pPr>
            <w:r>
              <w:t>Budgets (EUR million)</w:t>
            </w:r>
          </w:p>
        </w:tc>
        <w:tc>
          <w:tcPr>
            <w:tcW w:w="0" w:type="auto"/>
            <w:vMerge w:val="restart"/>
          </w:tcPr>
          <w:p w14:paraId="423E37A0" w14:textId="77777777" w:rsidR="00401FAE" w:rsidRDefault="00787C76">
            <w:pPr>
              <w:pStyle w:val="CellHeaderTextValue"/>
            </w:pPr>
            <w:r>
              <w:t>Deadline(s)</w:t>
            </w:r>
          </w:p>
        </w:tc>
      </w:tr>
      <w:tr w:rsidR="00401FAE" w14:paraId="75865AA5" w14:textId="77777777">
        <w:tc>
          <w:tcPr>
            <w:tcW w:w="0" w:type="auto"/>
            <w:vMerge/>
          </w:tcPr>
          <w:p w14:paraId="6A91FD4E" w14:textId="77777777" w:rsidR="00401FAE" w:rsidRDefault="00401FAE"/>
        </w:tc>
        <w:tc>
          <w:tcPr>
            <w:tcW w:w="2000" w:type="dxa"/>
          </w:tcPr>
          <w:p w14:paraId="7DAF7DE3" w14:textId="77777777" w:rsidR="00401FAE" w:rsidRDefault="00787C76">
            <w:pPr>
              <w:pStyle w:val="CellHeaderTextValue"/>
            </w:pPr>
            <w:r>
              <w:t>2021</w:t>
            </w:r>
          </w:p>
        </w:tc>
        <w:tc>
          <w:tcPr>
            <w:tcW w:w="0" w:type="auto"/>
            <w:vMerge/>
          </w:tcPr>
          <w:p w14:paraId="507D6486" w14:textId="77777777" w:rsidR="00401FAE" w:rsidRDefault="00401FAE"/>
        </w:tc>
      </w:tr>
      <w:tr w:rsidR="00401FAE" w14:paraId="79230518" w14:textId="77777777">
        <w:tc>
          <w:tcPr>
            <w:tcW w:w="0" w:type="auto"/>
          </w:tcPr>
          <w:p w14:paraId="3E505059" w14:textId="77777777" w:rsidR="00401FAE" w:rsidRDefault="00787C76">
            <w:pPr>
              <w:pStyle w:val="CellTextValue"/>
            </w:pPr>
            <w:r>
              <w:t>HORIZON-MISS-2021-CLIMA-01</w:t>
            </w:r>
          </w:p>
        </w:tc>
        <w:tc>
          <w:tcPr>
            <w:tcW w:w="0" w:type="auto"/>
          </w:tcPr>
          <w:p w14:paraId="2A272918" w14:textId="77777777" w:rsidR="00401FAE" w:rsidRDefault="00787C76">
            <w:pPr>
              <w:pStyle w:val="CellTextValue"/>
            </w:pPr>
            <w:r>
              <w:t>5.00</w:t>
            </w:r>
          </w:p>
        </w:tc>
        <w:tc>
          <w:tcPr>
            <w:tcW w:w="0" w:type="auto"/>
          </w:tcPr>
          <w:p w14:paraId="3B60517D" w14:textId="77777777" w:rsidR="00401FAE" w:rsidRDefault="00787C76">
            <w:pPr>
              <w:pStyle w:val="CellTextValue"/>
            </w:pPr>
            <w:r>
              <w:t>09 Sep 2021</w:t>
            </w:r>
          </w:p>
        </w:tc>
      </w:tr>
      <w:tr w:rsidR="00401FAE" w14:paraId="7FB0DCF7" w14:textId="77777777">
        <w:tc>
          <w:tcPr>
            <w:tcW w:w="0" w:type="auto"/>
          </w:tcPr>
          <w:p w14:paraId="4F875E02" w14:textId="77777777" w:rsidR="00401FAE" w:rsidRDefault="00787C76">
            <w:pPr>
              <w:pStyle w:val="CellTextValue"/>
            </w:pPr>
            <w:r>
              <w:t>Overall indicative budget</w:t>
            </w:r>
          </w:p>
        </w:tc>
        <w:tc>
          <w:tcPr>
            <w:tcW w:w="0" w:type="auto"/>
          </w:tcPr>
          <w:p w14:paraId="172E48F9" w14:textId="77777777" w:rsidR="00401FAE" w:rsidRDefault="00787C76">
            <w:pPr>
              <w:pStyle w:val="CellTextValue"/>
            </w:pPr>
            <w:r>
              <w:t>5.00</w:t>
            </w:r>
          </w:p>
        </w:tc>
        <w:tc>
          <w:tcPr>
            <w:tcW w:w="0" w:type="auto"/>
          </w:tcPr>
          <w:p w14:paraId="65B22E8E" w14:textId="77777777" w:rsidR="00401FAE" w:rsidRDefault="00401FAE"/>
        </w:tc>
      </w:tr>
    </w:tbl>
    <w:p w14:paraId="3F19F8B3" w14:textId="77777777" w:rsidR="00401FAE" w:rsidRDefault="00401FAE">
      <w:pPr>
        <w:spacing w:after="0" w:line="150" w:lineRule="auto"/>
      </w:pPr>
    </w:p>
    <w:p w14:paraId="6266C65D" w14:textId="77777777" w:rsidR="00401FAE" w:rsidRDefault="00401FAE">
      <w:pPr>
        <w:pageBreakBefore/>
      </w:pPr>
    </w:p>
    <w:p w14:paraId="1BD4C7BC" w14:textId="77777777" w:rsidR="00401FAE" w:rsidRPr="00E21EA1" w:rsidRDefault="00787C76">
      <w:pPr>
        <w:pStyle w:val="HeadingTwo"/>
        <w:rPr>
          <w:lang w:val="en-IE"/>
        </w:rPr>
      </w:pPr>
      <w:bookmarkStart w:id="2" w:name="_Toc69807936"/>
      <w:r w:rsidRPr="00E21EA1">
        <w:rPr>
          <w:lang w:val="en-IE"/>
        </w:rPr>
        <w:t>Call - Better prepared regional and local authorities to adapt to climate change</w:t>
      </w:r>
      <w:bookmarkEnd w:id="2"/>
    </w:p>
    <w:p w14:paraId="4CFF4AFE" w14:textId="77777777" w:rsidR="00401FAE" w:rsidRDefault="00787C76">
      <w:pPr>
        <w:pStyle w:val="CallIdentifier"/>
      </w:pPr>
      <w:r>
        <w:t>HORIZON-MISS-2021-CLIMA-01</w:t>
      </w:r>
    </w:p>
    <w:p w14:paraId="78ECC7FD" w14:textId="77777777" w:rsidR="00401FAE" w:rsidRDefault="00787C76">
      <w:pPr>
        <w:pStyle w:val="HeadingThree"/>
      </w:pPr>
      <w:bookmarkStart w:id="3" w:name="_Toc69807937"/>
      <w:r>
        <w:t>Conditions for the Call</w:t>
      </w:r>
      <w:bookmarkEnd w:id="3"/>
    </w:p>
    <w:p w14:paraId="2EC12D52" w14:textId="77777777" w:rsidR="00401FAE" w:rsidRDefault="00787C76">
      <w:r>
        <w:rPr>
          <w:u w:val="single"/>
        </w:rPr>
        <w:t>Indicative budget(s)</w:t>
      </w:r>
      <w:r>
        <w:rPr>
          <w:vertAlign w:val="superscript"/>
        </w:rPr>
        <w:footnoteReference w:id="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4"/>
        <w:gridCol w:w="884"/>
        <w:gridCol w:w="1200"/>
        <w:gridCol w:w="1901"/>
        <w:gridCol w:w="1083"/>
      </w:tblGrid>
      <w:tr w:rsidR="00401FAE" w14:paraId="33E1FAEC" w14:textId="77777777">
        <w:tc>
          <w:tcPr>
            <w:tcW w:w="2000" w:type="dxa"/>
            <w:vMerge w:val="restart"/>
          </w:tcPr>
          <w:p w14:paraId="43F478BB" w14:textId="77777777" w:rsidR="00401FAE" w:rsidRDefault="00787C76">
            <w:pPr>
              <w:pStyle w:val="CellHeaderTextValue"/>
            </w:pPr>
            <w:r>
              <w:t>Topics</w:t>
            </w:r>
          </w:p>
        </w:tc>
        <w:tc>
          <w:tcPr>
            <w:tcW w:w="800" w:type="dxa"/>
            <w:vMerge w:val="restart"/>
          </w:tcPr>
          <w:p w14:paraId="14C884E3" w14:textId="77777777" w:rsidR="00401FAE" w:rsidRDefault="00787C76">
            <w:pPr>
              <w:pStyle w:val="CellHeaderTextValue"/>
            </w:pPr>
            <w:r>
              <w:t>Type of Action</w:t>
            </w:r>
          </w:p>
        </w:tc>
        <w:tc>
          <w:tcPr>
            <w:tcW w:w="0" w:type="auto"/>
          </w:tcPr>
          <w:p w14:paraId="6B9EC1F8" w14:textId="77777777" w:rsidR="00401FAE" w:rsidRDefault="00787C76">
            <w:pPr>
              <w:pStyle w:val="CellHeaderTextValue"/>
            </w:pPr>
            <w:r>
              <w:t>Budgets (EUR million)</w:t>
            </w:r>
          </w:p>
        </w:tc>
        <w:tc>
          <w:tcPr>
            <w:tcW w:w="0" w:type="auto"/>
            <w:vMerge w:val="restart"/>
          </w:tcPr>
          <w:p w14:paraId="44842833" w14:textId="77777777" w:rsidR="00401FAE" w:rsidRPr="00E21EA1" w:rsidRDefault="00787C76">
            <w:pPr>
              <w:pStyle w:val="CellHeaderTextValue"/>
              <w:rPr>
                <w:lang w:val="fr-BE"/>
              </w:rPr>
            </w:pPr>
            <w:r w:rsidRPr="00E21EA1">
              <w:rPr>
                <w:lang w:val="fr-BE"/>
              </w:rPr>
              <w:t>Expected EU contribution per project (EUR million)</w:t>
            </w:r>
            <w:r>
              <w:rPr>
                <w:vertAlign w:val="superscript"/>
              </w:rPr>
              <w:footnoteReference w:id="3"/>
            </w:r>
          </w:p>
        </w:tc>
        <w:tc>
          <w:tcPr>
            <w:tcW w:w="800" w:type="dxa"/>
            <w:vMerge w:val="restart"/>
          </w:tcPr>
          <w:p w14:paraId="1D0715F4" w14:textId="77777777" w:rsidR="00401FAE" w:rsidRDefault="00787C76">
            <w:pPr>
              <w:pStyle w:val="CellHeaderTextValue"/>
            </w:pPr>
            <w:r>
              <w:t>Number of projects expected to be funded</w:t>
            </w:r>
          </w:p>
        </w:tc>
      </w:tr>
      <w:tr w:rsidR="00401FAE" w14:paraId="20373520" w14:textId="77777777">
        <w:tc>
          <w:tcPr>
            <w:tcW w:w="0" w:type="auto"/>
            <w:vMerge/>
          </w:tcPr>
          <w:p w14:paraId="7F63FBEF" w14:textId="77777777" w:rsidR="00401FAE" w:rsidRDefault="00401FAE"/>
        </w:tc>
        <w:tc>
          <w:tcPr>
            <w:tcW w:w="0" w:type="auto"/>
            <w:vMerge/>
          </w:tcPr>
          <w:p w14:paraId="39C4F59D" w14:textId="77777777" w:rsidR="00401FAE" w:rsidRDefault="00401FAE"/>
        </w:tc>
        <w:tc>
          <w:tcPr>
            <w:tcW w:w="0" w:type="auto"/>
          </w:tcPr>
          <w:p w14:paraId="540F5031" w14:textId="77777777" w:rsidR="00401FAE" w:rsidRDefault="00787C76">
            <w:pPr>
              <w:pStyle w:val="CellHeaderTextValue"/>
            </w:pPr>
            <w:r>
              <w:t>2021</w:t>
            </w:r>
          </w:p>
        </w:tc>
        <w:tc>
          <w:tcPr>
            <w:tcW w:w="0" w:type="auto"/>
            <w:vMerge/>
          </w:tcPr>
          <w:p w14:paraId="6A843E91" w14:textId="77777777" w:rsidR="00401FAE" w:rsidRDefault="00401FAE"/>
        </w:tc>
        <w:tc>
          <w:tcPr>
            <w:tcW w:w="0" w:type="auto"/>
            <w:vMerge/>
          </w:tcPr>
          <w:p w14:paraId="6E61278D" w14:textId="77777777" w:rsidR="00401FAE" w:rsidRDefault="00401FAE"/>
        </w:tc>
      </w:tr>
      <w:tr w:rsidR="00787C76" w14:paraId="431872AC" w14:textId="77777777" w:rsidTr="00787C76">
        <w:tc>
          <w:tcPr>
            <w:tcW w:w="0" w:type="auto"/>
            <w:gridSpan w:val="5"/>
          </w:tcPr>
          <w:p w14:paraId="00FDCB7E" w14:textId="77777777" w:rsidR="00401FAE" w:rsidRDefault="00787C76">
            <w:pPr>
              <w:pStyle w:val="CellTextValue"/>
              <w:jc w:val="center"/>
            </w:pPr>
            <w:r>
              <w:t>Opening: 18 May 2021</w:t>
            </w:r>
          </w:p>
          <w:p w14:paraId="23746376" w14:textId="77777777" w:rsidR="00401FAE" w:rsidRDefault="00787C76">
            <w:pPr>
              <w:pStyle w:val="CellTextValue"/>
              <w:jc w:val="center"/>
            </w:pPr>
            <w:r>
              <w:t>Deadline(s): 09 Sep 2021</w:t>
            </w:r>
          </w:p>
        </w:tc>
      </w:tr>
      <w:tr w:rsidR="00401FAE" w14:paraId="62301264" w14:textId="77777777">
        <w:tc>
          <w:tcPr>
            <w:tcW w:w="0" w:type="auto"/>
          </w:tcPr>
          <w:p w14:paraId="1BF3F66F" w14:textId="77777777" w:rsidR="00401FAE" w:rsidRDefault="00787C76">
            <w:pPr>
              <w:pStyle w:val="CellTextValue"/>
            </w:pPr>
            <w:r>
              <w:t>HORIZON-MISS-2021-CLIMA-01-01</w:t>
            </w:r>
          </w:p>
        </w:tc>
        <w:tc>
          <w:tcPr>
            <w:tcW w:w="0" w:type="auto"/>
          </w:tcPr>
          <w:p w14:paraId="7941B61F" w14:textId="77777777" w:rsidR="00401FAE" w:rsidRDefault="00787C76">
            <w:pPr>
              <w:pStyle w:val="CellTextValue"/>
            </w:pPr>
            <w:r>
              <w:t>CSA</w:t>
            </w:r>
          </w:p>
        </w:tc>
        <w:tc>
          <w:tcPr>
            <w:tcW w:w="0" w:type="auto"/>
            <w:vMerge w:val="restart"/>
          </w:tcPr>
          <w:p w14:paraId="68F4AD22" w14:textId="77777777" w:rsidR="00401FAE" w:rsidRDefault="00787C76">
            <w:pPr>
              <w:pStyle w:val="CellTextValue"/>
            </w:pPr>
            <w:r>
              <w:t xml:space="preserve">5.00 </w:t>
            </w:r>
            <w:r>
              <w:rPr>
                <w:vertAlign w:val="superscript"/>
              </w:rPr>
              <w:footnoteReference w:id="4"/>
            </w:r>
          </w:p>
        </w:tc>
        <w:tc>
          <w:tcPr>
            <w:tcW w:w="0" w:type="auto"/>
          </w:tcPr>
          <w:p w14:paraId="0DA2E485" w14:textId="77777777" w:rsidR="00401FAE" w:rsidRDefault="00787C76">
            <w:pPr>
              <w:pStyle w:val="CellTextValue"/>
            </w:pPr>
            <w:r>
              <w:t>Around 5.00</w:t>
            </w:r>
          </w:p>
        </w:tc>
        <w:tc>
          <w:tcPr>
            <w:tcW w:w="0" w:type="auto"/>
          </w:tcPr>
          <w:p w14:paraId="3D257CC3" w14:textId="77777777" w:rsidR="00401FAE" w:rsidRDefault="00787C76">
            <w:pPr>
              <w:pStyle w:val="CellTextValue"/>
            </w:pPr>
            <w:r>
              <w:t>1</w:t>
            </w:r>
          </w:p>
        </w:tc>
      </w:tr>
      <w:tr w:rsidR="00401FAE" w14:paraId="1A8E4DE9" w14:textId="77777777">
        <w:tc>
          <w:tcPr>
            <w:tcW w:w="0" w:type="auto"/>
          </w:tcPr>
          <w:p w14:paraId="693E6017" w14:textId="77777777" w:rsidR="00401FAE" w:rsidRDefault="00787C76">
            <w:pPr>
              <w:pStyle w:val="CellTextValue"/>
            </w:pPr>
            <w:r>
              <w:t>Overall indicative budget</w:t>
            </w:r>
          </w:p>
        </w:tc>
        <w:tc>
          <w:tcPr>
            <w:tcW w:w="0" w:type="auto"/>
          </w:tcPr>
          <w:p w14:paraId="18F9436D" w14:textId="77777777" w:rsidR="00401FAE" w:rsidRDefault="00401FAE"/>
        </w:tc>
        <w:tc>
          <w:tcPr>
            <w:tcW w:w="0" w:type="auto"/>
          </w:tcPr>
          <w:p w14:paraId="2D9C63BF" w14:textId="77777777" w:rsidR="00401FAE" w:rsidRDefault="00787C76">
            <w:pPr>
              <w:pStyle w:val="CellTextValue"/>
            </w:pPr>
            <w:r>
              <w:t>5.00</w:t>
            </w:r>
          </w:p>
        </w:tc>
        <w:tc>
          <w:tcPr>
            <w:tcW w:w="0" w:type="auto"/>
          </w:tcPr>
          <w:p w14:paraId="63AB643C" w14:textId="77777777" w:rsidR="00401FAE" w:rsidRDefault="00401FAE"/>
        </w:tc>
        <w:tc>
          <w:tcPr>
            <w:tcW w:w="0" w:type="auto"/>
          </w:tcPr>
          <w:p w14:paraId="4131476F" w14:textId="77777777" w:rsidR="00401FAE" w:rsidRDefault="00401FAE"/>
        </w:tc>
      </w:tr>
    </w:tbl>
    <w:p w14:paraId="604F9C4A"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4AFFA1AB" w14:textId="77777777" w:rsidTr="00787C76">
        <w:tc>
          <w:tcPr>
            <w:tcW w:w="0" w:type="auto"/>
            <w:gridSpan w:val="2"/>
          </w:tcPr>
          <w:p w14:paraId="692BA902" w14:textId="77777777" w:rsidR="00401FAE" w:rsidRDefault="00787C76">
            <w:pPr>
              <w:pStyle w:val="CellTextValue"/>
            </w:pPr>
            <w:r>
              <w:rPr>
                <w:b/>
              </w:rPr>
              <w:t>General conditions relating to this call</w:t>
            </w:r>
          </w:p>
        </w:tc>
      </w:tr>
      <w:tr w:rsidR="00401FAE" w14:paraId="13A7A940" w14:textId="77777777">
        <w:tc>
          <w:tcPr>
            <w:tcW w:w="0" w:type="auto"/>
          </w:tcPr>
          <w:p w14:paraId="4BEA0532" w14:textId="77777777" w:rsidR="00401FAE" w:rsidRDefault="00787C76">
            <w:pPr>
              <w:pStyle w:val="CellTextValue"/>
              <w:jc w:val="left"/>
            </w:pPr>
            <w:r>
              <w:rPr>
                <w:i/>
              </w:rPr>
              <w:t>Admissibility conditions</w:t>
            </w:r>
          </w:p>
        </w:tc>
        <w:tc>
          <w:tcPr>
            <w:tcW w:w="0" w:type="auto"/>
          </w:tcPr>
          <w:p w14:paraId="6BD63477" w14:textId="77777777" w:rsidR="00401FAE" w:rsidRDefault="00787C76">
            <w:pPr>
              <w:pStyle w:val="CellTextValue"/>
            </w:pPr>
            <w:r>
              <w:rPr>
                <w:color w:val="000000"/>
              </w:rPr>
              <w:t>The conditions are described in General Annex A.</w:t>
            </w:r>
          </w:p>
        </w:tc>
      </w:tr>
      <w:tr w:rsidR="00401FAE" w14:paraId="71B250DC" w14:textId="77777777">
        <w:tc>
          <w:tcPr>
            <w:tcW w:w="0" w:type="auto"/>
          </w:tcPr>
          <w:p w14:paraId="2214C502" w14:textId="77777777" w:rsidR="00401FAE" w:rsidRDefault="00787C76">
            <w:pPr>
              <w:pStyle w:val="CellTextValue"/>
              <w:jc w:val="left"/>
            </w:pPr>
            <w:r>
              <w:rPr>
                <w:i/>
              </w:rPr>
              <w:t>Eligibility conditions</w:t>
            </w:r>
          </w:p>
        </w:tc>
        <w:tc>
          <w:tcPr>
            <w:tcW w:w="0" w:type="auto"/>
          </w:tcPr>
          <w:p w14:paraId="11D69F84" w14:textId="77777777" w:rsidR="00401FAE" w:rsidRDefault="00787C76">
            <w:pPr>
              <w:pStyle w:val="CellTextValue"/>
            </w:pPr>
            <w:r>
              <w:rPr>
                <w:color w:val="000000"/>
              </w:rPr>
              <w:t>The conditions are described in General Annex B.</w:t>
            </w:r>
          </w:p>
        </w:tc>
      </w:tr>
      <w:tr w:rsidR="00401FAE" w14:paraId="176D75A2" w14:textId="77777777">
        <w:tc>
          <w:tcPr>
            <w:tcW w:w="0" w:type="auto"/>
          </w:tcPr>
          <w:p w14:paraId="60D4F3D1" w14:textId="77777777" w:rsidR="00401FAE" w:rsidRDefault="00787C76">
            <w:pPr>
              <w:pStyle w:val="CellTextValue"/>
              <w:jc w:val="left"/>
            </w:pPr>
            <w:r>
              <w:rPr>
                <w:i/>
              </w:rPr>
              <w:t>Financial and operational capacity and exclusion</w:t>
            </w:r>
          </w:p>
        </w:tc>
        <w:tc>
          <w:tcPr>
            <w:tcW w:w="0" w:type="auto"/>
          </w:tcPr>
          <w:p w14:paraId="649A8858" w14:textId="77777777" w:rsidR="00401FAE" w:rsidRDefault="00787C76">
            <w:pPr>
              <w:pStyle w:val="CellTextValue"/>
            </w:pPr>
            <w:r>
              <w:rPr>
                <w:color w:val="000000"/>
              </w:rPr>
              <w:t>The criteria are described in General Annex C.</w:t>
            </w:r>
          </w:p>
        </w:tc>
      </w:tr>
      <w:tr w:rsidR="00401FAE" w14:paraId="760B26FB" w14:textId="77777777">
        <w:tc>
          <w:tcPr>
            <w:tcW w:w="0" w:type="auto"/>
          </w:tcPr>
          <w:p w14:paraId="5D467D46" w14:textId="77777777" w:rsidR="00401FAE" w:rsidRDefault="00787C76">
            <w:pPr>
              <w:pStyle w:val="CellTextValue"/>
              <w:jc w:val="left"/>
            </w:pPr>
            <w:r>
              <w:rPr>
                <w:i/>
              </w:rPr>
              <w:t>Award criteria</w:t>
            </w:r>
          </w:p>
        </w:tc>
        <w:tc>
          <w:tcPr>
            <w:tcW w:w="0" w:type="auto"/>
          </w:tcPr>
          <w:p w14:paraId="7440D3D2" w14:textId="77777777" w:rsidR="00401FAE" w:rsidRDefault="00787C76">
            <w:pPr>
              <w:pStyle w:val="CellTextValue"/>
            </w:pPr>
            <w:r>
              <w:rPr>
                <w:color w:val="000000"/>
              </w:rPr>
              <w:t>The criteria are described in General Annex D.</w:t>
            </w:r>
          </w:p>
        </w:tc>
      </w:tr>
      <w:tr w:rsidR="00401FAE" w14:paraId="69F1E719" w14:textId="77777777">
        <w:tc>
          <w:tcPr>
            <w:tcW w:w="0" w:type="auto"/>
          </w:tcPr>
          <w:p w14:paraId="24E36997" w14:textId="77777777" w:rsidR="00401FAE" w:rsidRDefault="00787C76">
            <w:pPr>
              <w:pStyle w:val="CellTextValue"/>
              <w:jc w:val="left"/>
            </w:pPr>
            <w:r>
              <w:rPr>
                <w:i/>
              </w:rPr>
              <w:t>Documents</w:t>
            </w:r>
          </w:p>
        </w:tc>
        <w:tc>
          <w:tcPr>
            <w:tcW w:w="0" w:type="auto"/>
          </w:tcPr>
          <w:p w14:paraId="435689D1" w14:textId="77777777" w:rsidR="00401FAE" w:rsidRDefault="00787C76">
            <w:pPr>
              <w:pStyle w:val="CellTextValue"/>
            </w:pPr>
            <w:r>
              <w:rPr>
                <w:color w:val="000000"/>
              </w:rPr>
              <w:t>The documents are described in General Annex E.</w:t>
            </w:r>
          </w:p>
        </w:tc>
      </w:tr>
      <w:tr w:rsidR="00401FAE" w14:paraId="6417A545" w14:textId="77777777">
        <w:tc>
          <w:tcPr>
            <w:tcW w:w="0" w:type="auto"/>
          </w:tcPr>
          <w:p w14:paraId="003B9190" w14:textId="77777777" w:rsidR="00401FAE" w:rsidRDefault="00787C76">
            <w:pPr>
              <w:pStyle w:val="CellTextValue"/>
              <w:jc w:val="left"/>
            </w:pPr>
            <w:r>
              <w:rPr>
                <w:i/>
              </w:rPr>
              <w:t>Procedure</w:t>
            </w:r>
          </w:p>
        </w:tc>
        <w:tc>
          <w:tcPr>
            <w:tcW w:w="0" w:type="auto"/>
          </w:tcPr>
          <w:p w14:paraId="084BEEDF" w14:textId="77777777" w:rsidR="00401FAE" w:rsidRDefault="00787C76">
            <w:pPr>
              <w:pStyle w:val="CellTextValue"/>
            </w:pPr>
            <w:r>
              <w:rPr>
                <w:color w:val="000000"/>
              </w:rPr>
              <w:t>The procedure is described in General Annex F.</w:t>
            </w:r>
          </w:p>
        </w:tc>
      </w:tr>
      <w:tr w:rsidR="00401FAE" w14:paraId="7F77815A" w14:textId="77777777">
        <w:tc>
          <w:tcPr>
            <w:tcW w:w="0" w:type="auto"/>
          </w:tcPr>
          <w:p w14:paraId="7A2C427D" w14:textId="77777777" w:rsidR="00401FAE" w:rsidRDefault="00787C76">
            <w:pPr>
              <w:pStyle w:val="CellTextValue"/>
              <w:jc w:val="left"/>
            </w:pPr>
            <w:r>
              <w:rPr>
                <w:i/>
              </w:rPr>
              <w:t>Legal and financial set-up of the Grant Agreements</w:t>
            </w:r>
          </w:p>
        </w:tc>
        <w:tc>
          <w:tcPr>
            <w:tcW w:w="0" w:type="auto"/>
          </w:tcPr>
          <w:p w14:paraId="0EFF9EB0" w14:textId="77777777" w:rsidR="00401FAE" w:rsidRDefault="00787C76">
            <w:pPr>
              <w:pStyle w:val="CellTextValue"/>
            </w:pPr>
            <w:r>
              <w:rPr>
                <w:color w:val="000000"/>
              </w:rPr>
              <w:t>The rules are described in General Annex G.</w:t>
            </w:r>
          </w:p>
        </w:tc>
      </w:tr>
    </w:tbl>
    <w:p w14:paraId="26AA5B79" w14:textId="77777777" w:rsidR="00401FAE" w:rsidRDefault="00401FAE">
      <w:pPr>
        <w:spacing w:after="0" w:line="150" w:lineRule="auto"/>
      </w:pPr>
    </w:p>
    <w:p w14:paraId="7083FB82" w14:textId="77777777" w:rsidR="00401FAE" w:rsidRDefault="00787C76">
      <w:r>
        <w:t>Proposals are invited against the following topic(s):</w:t>
      </w:r>
    </w:p>
    <w:p w14:paraId="1254A02B" w14:textId="77777777" w:rsidR="00401FAE" w:rsidRDefault="00787C76">
      <w:pPr>
        <w:pStyle w:val="HeadingThree"/>
      </w:pPr>
      <w:bookmarkStart w:id="4" w:name="_Toc69807938"/>
      <w:r>
        <w:t>HORIZON-MISS-2021-CLIMA-01-01: Better prepared regional and local authorities to adapt to climate change</w:t>
      </w:r>
      <w:bookmarkEnd w:id="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787C76" w14:paraId="068AA7F7" w14:textId="77777777" w:rsidTr="00787C76">
        <w:tc>
          <w:tcPr>
            <w:tcW w:w="0" w:type="auto"/>
            <w:gridSpan w:val="2"/>
          </w:tcPr>
          <w:p w14:paraId="53914180" w14:textId="77777777" w:rsidR="00401FAE" w:rsidRDefault="00787C76">
            <w:pPr>
              <w:pStyle w:val="CellTextValue"/>
            </w:pPr>
            <w:r>
              <w:rPr>
                <w:b/>
              </w:rPr>
              <w:t>Specific conditions</w:t>
            </w:r>
          </w:p>
        </w:tc>
      </w:tr>
      <w:tr w:rsidR="00401FAE" w14:paraId="16326566" w14:textId="77777777">
        <w:tc>
          <w:tcPr>
            <w:tcW w:w="0" w:type="auto"/>
          </w:tcPr>
          <w:p w14:paraId="105A67C1" w14:textId="77777777" w:rsidR="00401FAE" w:rsidRDefault="00787C76">
            <w:pPr>
              <w:pStyle w:val="CellTextValue"/>
              <w:jc w:val="left"/>
            </w:pPr>
            <w:r>
              <w:rPr>
                <w:i/>
              </w:rPr>
              <w:t>Expected EU contribution per project</w:t>
            </w:r>
          </w:p>
        </w:tc>
        <w:tc>
          <w:tcPr>
            <w:tcW w:w="0" w:type="auto"/>
          </w:tcPr>
          <w:p w14:paraId="774B135A" w14:textId="77777777" w:rsidR="00401FAE" w:rsidRDefault="00787C76">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1FAE" w14:paraId="72038D09" w14:textId="77777777">
        <w:tc>
          <w:tcPr>
            <w:tcW w:w="0" w:type="auto"/>
          </w:tcPr>
          <w:p w14:paraId="2668BDB8" w14:textId="77777777" w:rsidR="00401FAE" w:rsidRDefault="00787C76">
            <w:pPr>
              <w:pStyle w:val="CellTextValue"/>
              <w:jc w:val="left"/>
            </w:pPr>
            <w:r>
              <w:rPr>
                <w:i/>
              </w:rPr>
              <w:t>Indicative budget</w:t>
            </w:r>
          </w:p>
        </w:tc>
        <w:tc>
          <w:tcPr>
            <w:tcW w:w="0" w:type="auto"/>
          </w:tcPr>
          <w:p w14:paraId="1B42F025" w14:textId="77777777" w:rsidR="00401FAE" w:rsidRDefault="00787C76">
            <w:pPr>
              <w:pStyle w:val="CellTextValue"/>
            </w:pPr>
            <w:r>
              <w:t>The total indicative budget for the topic is EUR 5.00 million.</w:t>
            </w:r>
          </w:p>
        </w:tc>
      </w:tr>
      <w:tr w:rsidR="00401FAE" w14:paraId="5C6CEFB3" w14:textId="77777777">
        <w:tc>
          <w:tcPr>
            <w:tcW w:w="0" w:type="auto"/>
          </w:tcPr>
          <w:p w14:paraId="0D468B0F" w14:textId="77777777" w:rsidR="00401FAE" w:rsidRDefault="00787C76">
            <w:pPr>
              <w:pStyle w:val="CellTextValue"/>
              <w:jc w:val="left"/>
            </w:pPr>
            <w:r>
              <w:rPr>
                <w:i/>
              </w:rPr>
              <w:t>Type of Action</w:t>
            </w:r>
          </w:p>
        </w:tc>
        <w:tc>
          <w:tcPr>
            <w:tcW w:w="0" w:type="auto"/>
          </w:tcPr>
          <w:p w14:paraId="66516A6E" w14:textId="77777777" w:rsidR="00401FAE" w:rsidRDefault="00787C76">
            <w:pPr>
              <w:pStyle w:val="CellTextValue"/>
            </w:pPr>
            <w:r>
              <w:rPr>
                <w:color w:val="000000"/>
              </w:rPr>
              <w:t>Coordination and Support Actions</w:t>
            </w:r>
          </w:p>
        </w:tc>
      </w:tr>
      <w:tr w:rsidR="00401FAE" w14:paraId="4E5DA8F2" w14:textId="77777777">
        <w:tc>
          <w:tcPr>
            <w:tcW w:w="0" w:type="auto"/>
          </w:tcPr>
          <w:p w14:paraId="5A349BE3" w14:textId="77777777" w:rsidR="00401FAE" w:rsidRDefault="00787C76">
            <w:pPr>
              <w:pStyle w:val="CellTextValue"/>
              <w:jc w:val="left"/>
            </w:pPr>
            <w:r>
              <w:rPr>
                <w:i/>
              </w:rPr>
              <w:t>Eligibility conditions</w:t>
            </w:r>
          </w:p>
        </w:tc>
        <w:tc>
          <w:tcPr>
            <w:tcW w:w="0" w:type="auto"/>
          </w:tcPr>
          <w:p w14:paraId="2F4D48F4" w14:textId="77777777" w:rsidR="00401FAE" w:rsidRDefault="00787C76">
            <w:pPr>
              <w:pStyle w:val="CellTextValue"/>
            </w:pPr>
            <w:r>
              <w:rPr>
                <w:color w:val="000000"/>
              </w:rPr>
              <w:t>The conditions are described in General Annex B. The following exceptions apply:</w:t>
            </w:r>
          </w:p>
          <w:p w14:paraId="42F48B49" w14:textId="77777777" w:rsidR="00401FAE" w:rsidRDefault="00787C76">
            <w:pPr>
              <w:pStyle w:val="CellTextValue"/>
            </w:pPr>
            <w:r>
              <w:rPr>
                <w:color w:val="000000"/>
              </w:rPr>
              <w:t>The Joint Research Centre (JRC) may participate as member of the consortium selected for funding.</w:t>
            </w:r>
          </w:p>
          <w:p w14:paraId="3A9056C5" w14:textId="77777777" w:rsidR="00401FAE" w:rsidRDefault="00787C76">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A271C89" w14:textId="77777777" w:rsidR="00401FAE" w:rsidRDefault="00401FAE">
      <w:pPr>
        <w:spacing w:after="0" w:line="150" w:lineRule="auto"/>
      </w:pPr>
    </w:p>
    <w:p w14:paraId="497E9EB1" w14:textId="77777777" w:rsidR="00401FAE" w:rsidRDefault="00787C76">
      <w:r>
        <w:rPr>
          <w:u w:val="single"/>
        </w:rPr>
        <w:t>Expected Outcome</w:t>
      </w:r>
      <w:r>
        <w:t xml:space="preserve">: </w:t>
      </w:r>
      <w:r>
        <w:rPr>
          <w:color w:val="000000"/>
        </w:rPr>
        <w:t xml:space="preserve"> </w:t>
      </w:r>
    </w:p>
    <w:p w14:paraId="199ACDEF" w14:textId="77777777" w:rsidR="00401FAE" w:rsidRDefault="00787C76">
      <w:r>
        <w:rPr>
          <w:color w:val="000000"/>
        </w:rPr>
        <w:t>Project results are expected to contribute to some</w:t>
      </w:r>
      <w:r>
        <w:rPr>
          <w:vertAlign w:val="superscript"/>
        </w:rPr>
        <w:footnoteReference w:id="5"/>
      </w:r>
      <w:r>
        <w:rPr>
          <w:color w:val="000000"/>
        </w:rPr>
        <w:t xml:space="preserve"> of the following expected outcomes:</w:t>
      </w:r>
    </w:p>
    <w:p w14:paraId="62DB174C" w14:textId="77777777" w:rsidR="00401FAE" w:rsidRDefault="00787C76" w:rsidP="00787C76">
      <w:pPr>
        <w:pStyle w:val="Paragraphedeliste"/>
        <w:numPr>
          <w:ilvl w:val="0"/>
          <w:numId w:val="9"/>
        </w:numPr>
      </w:pPr>
      <w:r>
        <w:rPr>
          <w:color w:val="000000"/>
        </w:rPr>
        <w:t>regional and local authorities gear up their preparations for meeting current and future objectives and requirements when it comes to climate adaptation and climate risk management, in the Climate Law</w:t>
      </w:r>
      <w:r>
        <w:rPr>
          <w:vertAlign w:val="superscript"/>
        </w:rPr>
        <w:footnoteReference w:id="6"/>
      </w:r>
      <w:r>
        <w:rPr>
          <w:color w:val="000000"/>
        </w:rPr>
        <w:t xml:space="preserve"> - namely in the new EU strategy on adaptation to climate change</w:t>
      </w:r>
      <w:r>
        <w:rPr>
          <w:vertAlign w:val="superscript"/>
        </w:rPr>
        <w:footnoteReference w:id="7"/>
      </w:r>
      <w:r>
        <w:rPr>
          <w:color w:val="000000"/>
        </w:rPr>
        <w:t xml:space="preserve"> - and in the Union Civil Protection Mechanism legislation</w:t>
      </w:r>
      <w:r>
        <w:rPr>
          <w:vertAlign w:val="superscript"/>
        </w:rPr>
        <w:footnoteReference w:id="8"/>
      </w:r>
      <w:r>
        <w:rPr>
          <w:color w:val="000000"/>
        </w:rPr>
        <w:t xml:space="preserve"> ;</w:t>
      </w:r>
    </w:p>
    <w:p w14:paraId="0A19B7C6" w14:textId="77777777" w:rsidR="00401FAE" w:rsidRDefault="00787C76" w:rsidP="00787C76">
      <w:pPr>
        <w:pStyle w:val="Paragraphedeliste"/>
        <w:numPr>
          <w:ilvl w:val="0"/>
          <w:numId w:val="9"/>
        </w:numPr>
      </w:pPr>
      <w:r>
        <w:rPr>
          <w:color w:val="000000"/>
        </w:rPr>
        <w:t>regional and local authorities, citizens and other stakeholders improve their understanding of climate risk and have improved access to relevant climate science, data and information from public and private sources and services (e.g. from regional climate projections and predictions, Copernicus, GEOSS and European Research Infrastructures (ERI)</w:t>
      </w:r>
      <w:r>
        <w:rPr>
          <w:vertAlign w:val="superscript"/>
        </w:rPr>
        <w:footnoteReference w:id="9"/>
      </w:r>
      <w:r>
        <w:rPr>
          <w:color w:val="000000"/>
        </w:rPr>
        <w:t>);</w:t>
      </w:r>
    </w:p>
    <w:p w14:paraId="17ABCF65" w14:textId="77777777" w:rsidR="00401FAE" w:rsidRDefault="00787C76" w:rsidP="00787C76">
      <w:pPr>
        <w:pStyle w:val="Paragraphedeliste"/>
        <w:numPr>
          <w:ilvl w:val="0"/>
          <w:numId w:val="9"/>
        </w:numPr>
      </w:pPr>
      <w:r>
        <w:rPr>
          <w:color w:val="000000"/>
        </w:rPr>
        <w:t xml:space="preserve">regional and local authorities have access to a range of funding and financing opportunities to create an enabling environment for adaptation action; </w:t>
      </w:r>
    </w:p>
    <w:p w14:paraId="35400C77" w14:textId="77777777" w:rsidR="00401FAE" w:rsidRDefault="00787C76" w:rsidP="00787C76">
      <w:pPr>
        <w:pStyle w:val="Paragraphedeliste"/>
        <w:numPr>
          <w:ilvl w:val="0"/>
          <w:numId w:val="9"/>
        </w:numPr>
      </w:pPr>
      <w:r>
        <w:rPr>
          <w:color w:val="000000"/>
        </w:rPr>
        <w:t>regional and local authorities embrace a transformative, inclusive and systemic approach, including societal transformation dimension, towards climate change adaptation action and just transition (in the wider sustainability context);</w:t>
      </w:r>
    </w:p>
    <w:p w14:paraId="752B029A" w14:textId="77777777" w:rsidR="00401FAE" w:rsidRDefault="00787C76" w:rsidP="00787C76">
      <w:pPr>
        <w:pStyle w:val="Paragraphedeliste"/>
        <w:numPr>
          <w:ilvl w:val="0"/>
          <w:numId w:val="9"/>
        </w:numPr>
      </w:pPr>
      <w:r>
        <w:rPr>
          <w:color w:val="000000"/>
        </w:rPr>
        <w:t>citizens and stakeholders are aware of climate impacts and risks, and engaged in the co-creation and sharing of data, knowledge and solutions fundamental for the transformation to become climate resilient (including by building on citizen science, social dialogue and social innovation approaches);</w:t>
      </w:r>
    </w:p>
    <w:p w14:paraId="0E0FB1D4" w14:textId="77777777" w:rsidR="00401FAE" w:rsidRDefault="00787C76" w:rsidP="00787C76">
      <w:pPr>
        <w:pStyle w:val="Paragraphedeliste"/>
        <w:numPr>
          <w:ilvl w:val="0"/>
          <w:numId w:val="9"/>
        </w:numPr>
      </w:pPr>
      <w:r>
        <w:rPr>
          <w:color w:val="000000"/>
        </w:rPr>
        <w:t>regional and local authorities adopt an integrated approach to solutions addressing climate change adaptation and climate resilience, namely no/low-regret adaptation solutions with co-benefits of adaptation actions for mitigation, zero pollution, biodiversity (e.g. nature-based solutions), resource efficiency, the economy, society, cultural heritage, human health and well-being;</w:t>
      </w:r>
    </w:p>
    <w:p w14:paraId="0B25CA71" w14:textId="77777777" w:rsidR="00401FAE" w:rsidRDefault="00787C76" w:rsidP="00787C76">
      <w:pPr>
        <w:pStyle w:val="Paragraphedeliste"/>
        <w:numPr>
          <w:ilvl w:val="0"/>
          <w:numId w:val="9"/>
        </w:numPr>
      </w:pPr>
      <w:r>
        <w:rPr>
          <w:color w:val="000000"/>
        </w:rPr>
        <w:t xml:space="preserve">regional authorities and communities are equipped to assess adaptation gaps in a systematic and forward-looking manner.  </w:t>
      </w:r>
    </w:p>
    <w:p w14:paraId="43D3FBE9" w14:textId="77777777" w:rsidR="00401FAE" w:rsidRDefault="00787C76">
      <w:r>
        <w:rPr>
          <w:u w:val="single"/>
        </w:rPr>
        <w:t>Scope</w:t>
      </w:r>
      <w:r>
        <w:t xml:space="preserve">: </w:t>
      </w:r>
      <w:r>
        <w:rPr>
          <w:color w:val="000000"/>
        </w:rPr>
        <w:t>This action should provide services to support regional and local authorities in their preparation to meet the current requirements of the Union Civil Protection Mechanism legislation, and the foreseen adaptation objectives in the Climate Law, underpinning the new EU strategy on adaptation to climate change in terms of research and innovation, data and knowledge, and capacity and skills.</w:t>
      </w:r>
    </w:p>
    <w:p w14:paraId="3673EF97" w14:textId="77777777" w:rsidR="00401FAE" w:rsidRDefault="00787C76">
      <w:r>
        <w:rPr>
          <w:color w:val="000000"/>
        </w:rPr>
        <w:t>Furthermore, this action should take stock of past, ongoing and future activities related to climate change adaptation, including innovative approaches to climate adaptation plans to implement a mix of solutions – based on technological, non-technological, and social innovations – and to explore transformative pathways. This would give an indication of best practices and solutions already available, gaps and barriers to address climate change adaptation in a more holistic matter; as well as options for transformative and innovative approaches.</w:t>
      </w:r>
    </w:p>
    <w:p w14:paraId="18BB3472" w14:textId="77777777" w:rsidR="00401FAE" w:rsidRDefault="00787C76">
      <w:r>
        <w:rPr>
          <w:color w:val="000000"/>
        </w:rPr>
        <w:t xml:space="preserve">In particular, the action should help regional and local authorities to:  </w:t>
      </w:r>
    </w:p>
    <w:p w14:paraId="60D7C2EB" w14:textId="77777777" w:rsidR="00401FAE" w:rsidRDefault="00787C76" w:rsidP="00787C76">
      <w:pPr>
        <w:pStyle w:val="Paragraphedeliste"/>
        <w:numPr>
          <w:ilvl w:val="0"/>
          <w:numId w:val="10"/>
        </w:numPr>
      </w:pPr>
      <w:r>
        <w:rPr>
          <w:color w:val="000000"/>
        </w:rPr>
        <w:t xml:space="preserve">better understand their climate risks, solutions available to mitigate such risks and ways to achieve climate resilience, including by some of the following activities:        </w:t>
      </w:r>
    </w:p>
    <w:p w14:paraId="505D927A" w14:textId="77777777" w:rsidR="00401FAE" w:rsidRDefault="00787C76" w:rsidP="00787C76">
      <w:pPr>
        <w:pStyle w:val="Paragraphedeliste"/>
        <w:numPr>
          <w:ilvl w:val="1"/>
          <w:numId w:val="10"/>
        </w:numPr>
      </w:pPr>
      <w:r>
        <w:rPr>
          <w:color w:val="000000"/>
        </w:rPr>
        <w:t xml:space="preserve">facilitating access to services specific to climate risk assessments at regional and/or local level, focusing on particularly vulnerable regions;    </w:t>
      </w:r>
    </w:p>
    <w:p w14:paraId="30C93BBF" w14:textId="77777777" w:rsidR="00401FAE" w:rsidRDefault="00787C76" w:rsidP="00787C76">
      <w:pPr>
        <w:pStyle w:val="Paragraphedeliste"/>
        <w:numPr>
          <w:ilvl w:val="1"/>
          <w:numId w:val="10"/>
        </w:numPr>
      </w:pPr>
      <w:r>
        <w:rPr>
          <w:color w:val="000000"/>
        </w:rPr>
        <w:t xml:space="preserve">assisting in the elaboration of climate risk management plans, including provisions for their monitoring and evaluation;   </w:t>
      </w:r>
    </w:p>
    <w:p w14:paraId="3305D7AB" w14:textId="77777777" w:rsidR="00401FAE" w:rsidRDefault="00787C76" w:rsidP="00787C76">
      <w:pPr>
        <w:pStyle w:val="Paragraphedeliste"/>
        <w:numPr>
          <w:ilvl w:val="1"/>
          <w:numId w:val="10"/>
        </w:numPr>
      </w:pPr>
      <w:r>
        <w:rPr>
          <w:color w:val="000000"/>
        </w:rPr>
        <w:t xml:space="preserve">providing a tailor-made overview of potential technological, non-technological, and social solutions – in particular breakthroughs, disruptive and radically new innovations – (which includes their effectiveness, inclusiveness, costs and benefits) and establishing close synergies with the Horizon 2020 European Green Deal call, in particular the topic on Climate-resilient Innovation Packages for EU regions (LC-GD-1-3-2020), and the topic on developing end-user products and services for all stakeholders and citizens supporting climate adaptation and mitigation (LC-GD-9-2-2020), as well as drawing on the results from relevant projects from Horizon 2020 and the LIFE Programme;   </w:t>
      </w:r>
    </w:p>
    <w:p w14:paraId="022F8754" w14:textId="77777777" w:rsidR="00401FAE" w:rsidRDefault="00787C76" w:rsidP="00787C76">
      <w:pPr>
        <w:pStyle w:val="Paragraphedeliste"/>
        <w:numPr>
          <w:ilvl w:val="1"/>
          <w:numId w:val="10"/>
        </w:numPr>
      </w:pPr>
      <w:r>
        <w:rPr>
          <w:color w:val="000000"/>
        </w:rPr>
        <w:t xml:space="preserve">identifying and mapping of priority research and innovation areas where gaps exist;   </w:t>
      </w:r>
    </w:p>
    <w:p w14:paraId="74674A93" w14:textId="77777777" w:rsidR="00401FAE" w:rsidRDefault="00787C76" w:rsidP="00787C76">
      <w:pPr>
        <w:pStyle w:val="Paragraphedeliste"/>
        <w:numPr>
          <w:ilvl w:val="1"/>
          <w:numId w:val="10"/>
        </w:numPr>
      </w:pPr>
      <w:r>
        <w:rPr>
          <w:color w:val="000000"/>
        </w:rPr>
        <w:t xml:space="preserve">facilitating a process designed to co-develop a vision of what a transformation towards climate resilience might mean in their regional and/or local context taking a systems approach (key community systems and enabling conditions), and including an analysis of levers, barriers and tipping points for transformation;    </w:t>
      </w:r>
    </w:p>
    <w:p w14:paraId="39A4D7ED" w14:textId="77777777" w:rsidR="00401FAE" w:rsidRDefault="00787C76" w:rsidP="00787C76">
      <w:pPr>
        <w:pStyle w:val="Paragraphedeliste"/>
        <w:numPr>
          <w:ilvl w:val="1"/>
          <w:numId w:val="10"/>
        </w:numPr>
      </w:pPr>
      <w:r>
        <w:rPr>
          <w:color w:val="000000"/>
        </w:rPr>
        <w:t xml:space="preserve">jointly (consortium participants, regional/local authorities and relevant stakeholders) assess adaptation capacity, behavioural insights, changes in social practices, skills and conditions (e.g., framework, governance, finance) needed to undergo a transformation towards climate resilience, with the objective to develop a self-assessment tool available to those authorities that are not able to receive the services from the consortium.    </w:t>
      </w:r>
    </w:p>
    <w:p w14:paraId="03FC6682" w14:textId="77777777" w:rsidR="00401FAE" w:rsidRDefault="00787C76" w:rsidP="00787C76">
      <w:pPr>
        <w:pStyle w:val="Paragraphedeliste"/>
        <w:numPr>
          <w:ilvl w:val="0"/>
          <w:numId w:val="10"/>
        </w:numPr>
      </w:pPr>
      <w:r>
        <w:rPr>
          <w:color w:val="000000"/>
        </w:rPr>
        <w:t>establish approaches and processes that enable co-design , co-development, and co-implementation with citizens and stakeholders (including academia, industry, social partners, public authorities and regulatory agencies) in line with the recently adopted Climate Pact</w:t>
      </w:r>
      <w:r>
        <w:rPr>
          <w:vertAlign w:val="superscript"/>
        </w:rPr>
        <w:footnoteReference w:id="10"/>
      </w:r>
      <w:r>
        <w:rPr>
          <w:color w:val="000000"/>
        </w:rPr>
        <w:t xml:space="preserve">, through some of the following activities:        </w:t>
      </w:r>
    </w:p>
    <w:p w14:paraId="04F540AD" w14:textId="77777777" w:rsidR="00401FAE" w:rsidRDefault="00787C76" w:rsidP="00787C76">
      <w:pPr>
        <w:pStyle w:val="Paragraphedeliste"/>
        <w:numPr>
          <w:ilvl w:val="1"/>
          <w:numId w:val="10"/>
        </w:numPr>
      </w:pPr>
      <w:r>
        <w:rPr>
          <w:color w:val="000000"/>
        </w:rPr>
        <w:t xml:space="preserve">cross-fertilisation of cutting-edge science on climate change impacts and risks that is locally/regionally relevant and comprehensible;    </w:t>
      </w:r>
    </w:p>
    <w:p w14:paraId="4FBEF035" w14:textId="77777777" w:rsidR="00401FAE" w:rsidRDefault="00787C76" w:rsidP="00787C76">
      <w:pPr>
        <w:pStyle w:val="Paragraphedeliste"/>
        <w:numPr>
          <w:ilvl w:val="1"/>
          <w:numId w:val="10"/>
        </w:numPr>
      </w:pPr>
      <w:r>
        <w:rPr>
          <w:color w:val="000000"/>
        </w:rPr>
        <w:t xml:space="preserve">fostering co-production of data at local level and knowledge and co-design of climate services to support a transformation towards climate resilience;    </w:t>
      </w:r>
    </w:p>
    <w:p w14:paraId="6B120668" w14:textId="77777777" w:rsidR="00401FAE" w:rsidRDefault="00787C76" w:rsidP="00787C76">
      <w:pPr>
        <w:pStyle w:val="Paragraphedeliste"/>
        <w:numPr>
          <w:ilvl w:val="1"/>
          <w:numId w:val="10"/>
        </w:numPr>
      </w:pPr>
      <w:r>
        <w:rPr>
          <w:color w:val="000000"/>
        </w:rPr>
        <w:t>supporting the implementation of citizen science, citizen observatories, social innovation and other means of joint knowledge gathering and monitoring to support a transformation towards climate resilience (e.g. the projects on air quality</w:t>
      </w:r>
      <w:r>
        <w:rPr>
          <w:vertAlign w:val="superscript"/>
        </w:rPr>
        <w:footnoteReference w:id="11"/>
      </w:r>
      <w:r>
        <w:rPr>
          <w:color w:val="000000"/>
        </w:rPr>
        <w:t xml:space="preserve">);   </w:t>
      </w:r>
    </w:p>
    <w:p w14:paraId="2D8CA5DD" w14:textId="77777777" w:rsidR="00401FAE" w:rsidRDefault="00787C76" w:rsidP="00787C76">
      <w:pPr>
        <w:pStyle w:val="Paragraphedeliste"/>
        <w:numPr>
          <w:ilvl w:val="1"/>
          <w:numId w:val="10"/>
        </w:numPr>
      </w:pPr>
      <w:r>
        <w:rPr>
          <w:color w:val="000000"/>
        </w:rPr>
        <w:t>assisting regional and local communities in the preparation of large-scale living labs</w:t>
      </w:r>
      <w:r>
        <w:rPr>
          <w:vertAlign w:val="superscript"/>
        </w:rPr>
        <w:footnoteReference w:id="12"/>
      </w:r>
      <w:r>
        <w:rPr>
          <w:color w:val="000000"/>
        </w:rPr>
        <w:t xml:space="preserve"> for the development and testing of transformative inclusive solutions towards climate resilience (exploring synergies with living labs foreseen in relevant Horizon Europe partnerships);   </w:t>
      </w:r>
    </w:p>
    <w:p w14:paraId="07C3E049" w14:textId="77777777" w:rsidR="00401FAE" w:rsidRDefault="00787C76" w:rsidP="00787C76">
      <w:pPr>
        <w:pStyle w:val="Paragraphedeliste"/>
        <w:numPr>
          <w:ilvl w:val="1"/>
          <w:numId w:val="10"/>
        </w:numPr>
      </w:pPr>
      <w:r>
        <w:rPr>
          <w:color w:val="000000"/>
        </w:rPr>
        <w:t xml:space="preserve">facilitating the establishment of inclusive and deliberative governance processes supporting just transitions;   </w:t>
      </w:r>
    </w:p>
    <w:p w14:paraId="00801190" w14:textId="77777777" w:rsidR="00401FAE" w:rsidRDefault="00787C76" w:rsidP="00787C76">
      <w:pPr>
        <w:pStyle w:val="Paragraphedeliste"/>
        <w:numPr>
          <w:ilvl w:val="0"/>
          <w:numId w:val="10"/>
        </w:numPr>
      </w:pPr>
      <w:r>
        <w:rPr>
          <w:color w:val="000000"/>
        </w:rPr>
        <w:t xml:space="preserve">map and facilitate synergies by identifying funding and financing opportunities for the creation of important R&amp;I-related enabling conditions in support of reaching climate resilience, including in the context of establishing close synergies with the preparatory action on Coordination of complementary actions for missions in this Work Programme, (topic HORIZON-MISS-DEPL-2021-01):         </w:t>
      </w:r>
    </w:p>
    <w:p w14:paraId="4C2E67E6" w14:textId="77777777" w:rsidR="00401FAE" w:rsidRDefault="00787C76" w:rsidP="00787C76">
      <w:pPr>
        <w:pStyle w:val="Paragraphedeliste"/>
        <w:numPr>
          <w:ilvl w:val="1"/>
          <w:numId w:val="10"/>
        </w:numPr>
      </w:pPr>
      <w:r>
        <w:rPr>
          <w:color w:val="000000"/>
        </w:rPr>
        <w:t xml:space="preserve">Data and operational climate services, including National Meteorological Services, Copernicus Climate Change Service, and Copernicus Emergency Management, Horizon 2020 and Europe relevant projects, as well as relevant action of GEOSS (Global Earth Observation System of Systems);    </w:t>
      </w:r>
    </w:p>
    <w:p w14:paraId="2B54D14D" w14:textId="77777777" w:rsidR="00401FAE" w:rsidRDefault="00787C76" w:rsidP="00787C76">
      <w:pPr>
        <w:pStyle w:val="Paragraphedeliste"/>
        <w:numPr>
          <w:ilvl w:val="1"/>
          <w:numId w:val="10"/>
        </w:numPr>
      </w:pPr>
      <w:r>
        <w:rPr>
          <w:color w:val="000000"/>
        </w:rPr>
        <w:t xml:space="preserve">the region-specific smart specialization strategies (ERDF/CF PO1) and regional operational programmes for Strategic Objective 2;    </w:t>
      </w:r>
    </w:p>
    <w:p w14:paraId="6FEE47BE" w14:textId="77777777" w:rsidR="00401FAE" w:rsidRDefault="00787C76" w:rsidP="00787C76">
      <w:pPr>
        <w:pStyle w:val="Paragraphedeliste"/>
        <w:numPr>
          <w:ilvl w:val="1"/>
          <w:numId w:val="10"/>
        </w:numPr>
      </w:pPr>
      <w:r>
        <w:rPr>
          <w:color w:val="000000"/>
        </w:rPr>
        <w:t xml:space="preserve">the Digital Europe Programme, in particular the digital twin on climate change adaptation;    </w:t>
      </w:r>
    </w:p>
    <w:p w14:paraId="23433CE3" w14:textId="77777777" w:rsidR="00401FAE" w:rsidRDefault="00787C76" w:rsidP="00787C76">
      <w:pPr>
        <w:pStyle w:val="Paragraphedeliste"/>
        <w:numPr>
          <w:ilvl w:val="1"/>
          <w:numId w:val="10"/>
        </w:numPr>
      </w:pPr>
      <w:r>
        <w:rPr>
          <w:color w:val="000000"/>
        </w:rPr>
        <w:t xml:space="preserve">the skills agenda and the European Social Fund (ESF+) to create the needed capacities and skills;    </w:t>
      </w:r>
    </w:p>
    <w:p w14:paraId="6583837D" w14:textId="77777777" w:rsidR="00401FAE" w:rsidRDefault="00787C76" w:rsidP="00787C76">
      <w:pPr>
        <w:pStyle w:val="Paragraphedeliste"/>
        <w:numPr>
          <w:ilvl w:val="1"/>
          <w:numId w:val="10"/>
        </w:numPr>
      </w:pPr>
      <w:r>
        <w:rPr>
          <w:color w:val="000000"/>
        </w:rPr>
        <w:t xml:space="preserve">Horizon Europe instruments, including those of bottom-up nature like the European Research Council or the Marie Skłodowska-Curie Actions, and its partnerships and missions;    </w:t>
      </w:r>
    </w:p>
    <w:p w14:paraId="01584701" w14:textId="77777777" w:rsidR="00401FAE" w:rsidRDefault="00787C76" w:rsidP="00787C76">
      <w:pPr>
        <w:pStyle w:val="Paragraphedeliste"/>
        <w:numPr>
          <w:ilvl w:val="1"/>
          <w:numId w:val="10"/>
        </w:numPr>
      </w:pPr>
      <w:r>
        <w:rPr>
          <w:color w:val="000000"/>
        </w:rPr>
        <w:t xml:space="preserve">other relevant EU, national and or regional programmes and instruments (e.g. Just Transition Fund, Recovery and Resilience Facility, European Structural and Investment Funds, Erasmus+ programme, European Solidarity Corps, Invest EU, and relevant financing by the European Investment Bank).   </w:t>
      </w:r>
    </w:p>
    <w:p w14:paraId="32A896C1" w14:textId="77777777" w:rsidR="00401FAE" w:rsidRDefault="00787C76">
      <w:r>
        <w:rPr>
          <w:color w:val="000000"/>
        </w:rPr>
        <w:t>Actions should address all the three main objectives under the scope, tackling some of the specific outcomes (sub-bullets under the three main objectives). Therefore, the consortium</w:t>
      </w:r>
      <w:r>
        <w:rPr>
          <w:vertAlign w:val="superscript"/>
        </w:rPr>
        <w:footnoteReference w:id="13"/>
      </w:r>
      <w:r>
        <w:rPr>
          <w:color w:val="000000"/>
        </w:rPr>
        <w:t xml:space="preserve"> should possess the expertise necessary to successfully deliver on the three main objectives. Regional and local authorities are not expected to be consortium participants, but to receive services from the consortium; in other words, they are the target groups of the project’s activities. </w:t>
      </w:r>
    </w:p>
    <w:p w14:paraId="08AC3618" w14:textId="77777777" w:rsidR="00401FAE" w:rsidRDefault="00787C76">
      <w:r>
        <w:rPr>
          <w:color w:val="000000"/>
        </w:rPr>
        <w:t>The services covered by this topic should be accessible to as many regional and local authorities as possible. The consortium is expected to accompany the authorities and relevant stakeholders through the delivery of the services needed and to the achievement of clear outcomes. Priority should be given to regions or locations with the high vulnerability</w:t>
      </w:r>
      <w:r>
        <w:rPr>
          <w:vertAlign w:val="superscript"/>
        </w:rPr>
        <w:footnoteReference w:id="14"/>
      </w:r>
      <w:r>
        <w:rPr>
          <w:color w:val="000000"/>
        </w:rPr>
        <w:t>, limited resources and/or low adaptive capacity</w:t>
      </w:r>
      <w:r>
        <w:rPr>
          <w:vertAlign w:val="superscript"/>
        </w:rPr>
        <w:footnoteReference w:id="15"/>
      </w:r>
      <w:r>
        <w:rPr>
          <w:color w:val="000000"/>
        </w:rPr>
        <w:t xml:space="preserve"> to climate change impacts. Demand could be higher than what can be supplied within the limits of this action, therefore proposals should include criteria for how to identify the regional and local authorities most in need of these services. These criteria will ensure that a variety of locations are represented, in as many countries as possible, reflecting the diversity in climatic risks in Europe, as well as differences in socio-economic and demographic conditions, and in approaches to mitigating such risks. Such criteria should also take into account the characteristics of the populations concerned and the vulnerability of the locations in order to subsequently understand the effectiveness of the services provided by the consortium. </w:t>
      </w:r>
    </w:p>
    <w:p w14:paraId="51A3FCBD" w14:textId="77777777" w:rsidR="00401FAE" w:rsidRDefault="00787C76">
      <w:r>
        <w:rPr>
          <w:color w:val="000000"/>
        </w:rPr>
        <w:t xml:space="preserve">The project is expected to have a duration of three years. Early in the project the consortium should define a list of regional and local authorities that would benefit from the project’s activities. By the end of the project, the consortium should propose a strategy to maintain the services offered through a platform, entity or partnership with relevant organisations. </w:t>
      </w:r>
    </w:p>
    <w:p w14:paraId="1B23C1D5" w14:textId="77777777" w:rsidR="00401FAE" w:rsidRDefault="00787C76">
      <w:r>
        <w:rPr>
          <w:color w:val="000000"/>
        </w:rPr>
        <w:t xml:space="preserve">Consortium participants should establish synergies with relevant projects funded under this Work Programme as well those originating from Horizon 2020, in particular the Green Deal Call (topics in area 1, as well as LC-GD-9-2-2020 and LC-GD-10-1-2020), should be explored and established during the course of the project. In particular, projects resulting from the calls mentioned above, as well as from Cluster 3 on Disaster Resilient Societies should be foreseen, Cluster 5 on Climate, Energy and Mobility, and Cluster 6 on Food, Bioeconomy, Natural Resources, Agriculture and Environment. In addition, the consortium should draw, when appropriate, upon the capabilities, expertise and data available at the Joint Research Centre in the area of Smart Specialization and urban sustainable development strategies, and the European Environment Agency through the </w:t>
      </w:r>
      <w:r>
        <w:rPr>
          <w:color w:val="3A3A3A"/>
        </w:rPr>
        <w:t xml:space="preserve">European </w:t>
      </w:r>
      <w:r>
        <w:rPr>
          <w:color w:val="000000"/>
        </w:rPr>
        <w:t>Climate Adaptation Platform (Climate-ADAPT), the European Topic Centre on Adaptation and the EIONET network of Member States.</w:t>
      </w:r>
    </w:p>
    <w:p w14:paraId="45CFB809" w14:textId="77777777" w:rsidR="00401FAE" w:rsidRDefault="00787C76">
      <w:r>
        <w:rPr>
          <w:color w:val="000000"/>
        </w:rPr>
        <w:t>The possible participation of the JRC in the project will consist of connecting to the regions, local communities and cities, which in their smart specialisation / local-urban development strategies are interested in the priority themes relevant for the mission.</w:t>
      </w:r>
    </w:p>
    <w:p w14:paraId="4CD3F8D3" w14:textId="77777777" w:rsidR="00401FAE" w:rsidRDefault="00787C76">
      <w:pPr>
        <w:pStyle w:val="HeadingOne"/>
        <w:pageBreakBefore/>
      </w:pPr>
      <w:bookmarkStart w:id="5" w:name="_Toc69807939"/>
      <w:r>
        <w:t>Mission: Cancer</w:t>
      </w:r>
      <w:bookmarkEnd w:id="5"/>
    </w:p>
    <w:p w14:paraId="7AFDA265" w14:textId="77777777" w:rsidR="00401FAE" w:rsidRDefault="00787C76">
      <w:r>
        <w:rPr>
          <w:color w:val="000000"/>
        </w:rPr>
        <w:t>The intended goal of the mission on cancer is to save more than three million lives by 2030, with cancer patients living longer and better. The intervention areas include: Understand; Prevent what is preventable; Optimise diagnostics and treatment; Support quality of life; Ensure equitable access in all aforementioned areas. The identified Mission Cancer will address all poorly understood cancers</w:t>
      </w:r>
      <w:r>
        <w:rPr>
          <w:vertAlign w:val="superscript"/>
        </w:rPr>
        <w:footnoteReference w:id="16"/>
      </w:r>
      <w:r>
        <w:rPr>
          <w:color w:val="000000"/>
        </w:rPr>
        <w:t xml:space="preserve"> in men and women, cancers in children, adolescents/young adults and the elderly, cancers in socio-economically vulnerable people, living in either cities, rural or remote areas, across all Member States and Associated countries.</w:t>
      </w:r>
    </w:p>
    <w:p w14:paraId="6F4C0489" w14:textId="77777777" w:rsidR="00401FAE" w:rsidRDefault="00787C76">
      <w:r>
        <w:rPr>
          <w:color w:val="000000"/>
        </w:rPr>
        <w:t>This would be through a health-in-all policies approach</w:t>
      </w:r>
      <w:r>
        <w:rPr>
          <w:vertAlign w:val="superscript"/>
        </w:rPr>
        <w:footnoteReference w:id="17"/>
      </w:r>
      <w:r>
        <w:rPr>
          <w:color w:val="000000"/>
        </w:rPr>
        <w:t>; through infrastructure support, regional, social and citizen community development; through investments, support and commitments from public and private sources, including from Member States, Associated countries and industry; and through cooperation with third countries.</w:t>
      </w:r>
    </w:p>
    <w:p w14:paraId="5256E1BF" w14:textId="77777777" w:rsidR="00401FAE" w:rsidRDefault="00787C76">
      <w:r>
        <w:rPr>
          <w:color w:val="000000"/>
        </w:rPr>
        <w:t>The identified Mission Cancer is coherent with and will be an essential and integral component of the Europe’s Beating Cancer Plan</w:t>
      </w:r>
      <w:r>
        <w:rPr>
          <w:vertAlign w:val="superscript"/>
        </w:rPr>
        <w:footnoteReference w:id="18"/>
      </w:r>
      <w:r>
        <w:rPr>
          <w:color w:val="000000"/>
        </w:rPr>
        <w:t>. It will provide directions and objectives for research and innovation and effective Commission policy to alleviate the burden of cancer.</w:t>
      </w:r>
    </w:p>
    <w:p w14:paraId="6A1F3E77" w14:textId="77777777" w:rsidR="00401FAE" w:rsidRDefault="00787C76">
      <w:r>
        <w:rPr>
          <w:color w:val="000000"/>
        </w:rPr>
        <w:t>It also relates to the European Green Deal, including the Farm to Fork strategy</w:t>
      </w:r>
      <w:r>
        <w:rPr>
          <w:vertAlign w:val="superscript"/>
        </w:rPr>
        <w:footnoteReference w:id="19"/>
      </w:r>
      <w:r>
        <w:rPr>
          <w:color w:val="000000"/>
        </w:rPr>
        <w:t>. The mission proposes research and policy directions and objectives to identify effective strategies for the development and implementation of cancer prevention, including on environmental factors (e.g. exposure to workplace carcinogens, air pollution, unhealthy diet, nutrition and low physical activity).</w:t>
      </w:r>
    </w:p>
    <w:p w14:paraId="4BAC5284" w14:textId="77777777" w:rsidR="00401FAE" w:rsidRDefault="00787C76">
      <w:r>
        <w:rPr>
          <w:color w:val="000000"/>
        </w:rPr>
        <w:t>Furthermore, it is also in line with the industrial</w:t>
      </w:r>
      <w:r>
        <w:rPr>
          <w:vertAlign w:val="superscript"/>
        </w:rPr>
        <w:footnoteReference w:id="20"/>
      </w:r>
      <w:r>
        <w:rPr>
          <w:color w:val="000000"/>
        </w:rPr>
        <w:t xml:space="preserve"> and digitalisation strategy</w:t>
      </w:r>
      <w:r>
        <w:rPr>
          <w:vertAlign w:val="superscript"/>
        </w:rPr>
        <w:footnoteReference w:id="21"/>
      </w:r>
      <w:r>
        <w:rPr>
          <w:color w:val="000000"/>
        </w:rPr>
        <w:t>. The mission proposes a further upscaling and digitalisation of services, innovation in diagnostics and interventions, and developing living labs, contributing to the positive impact of efforts by industry and SMEs on the health of citizens. Envisaged opportunities are in the fields of: cancer biomarkers; cloud computing and digital applications, smart apps/sensors; AI/machine learning to facilitate a better understanding of cancer and support, inter alia, screening, administration of combinational therapies, and clinical management of patients living with and after cancer.</w:t>
      </w:r>
    </w:p>
    <w:p w14:paraId="2CE67263" w14:textId="77777777" w:rsidR="00401FAE" w:rsidRDefault="00787C76">
      <w:r>
        <w:rPr>
          <w:color w:val="000000"/>
        </w:rPr>
        <w:t>Full implementation of the mission is subject to confirmation following the preparatory phase.</w:t>
      </w:r>
    </w:p>
    <w:p w14:paraId="1FBF110A" w14:textId="77777777" w:rsidR="00401FAE" w:rsidRDefault="00787C76">
      <w:r>
        <w:rPr>
          <w:color w:val="000000"/>
        </w:rPr>
        <w:t>Proposals for call(s) and procurement actions under this identified mission should contribute to setting out a credible pathway for a swift implementation of the Mission Cancer, thereby contributing to the envisaged mission goal.</w:t>
      </w:r>
    </w:p>
    <w:p w14:paraId="7FFD74A3"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4"/>
        <w:gridCol w:w="2000"/>
        <w:gridCol w:w="1430"/>
      </w:tblGrid>
      <w:tr w:rsidR="00401FAE" w14:paraId="59818CA9" w14:textId="77777777">
        <w:tc>
          <w:tcPr>
            <w:tcW w:w="0" w:type="auto"/>
            <w:vMerge w:val="restart"/>
          </w:tcPr>
          <w:p w14:paraId="39708069" w14:textId="77777777" w:rsidR="00401FAE" w:rsidRDefault="00787C76">
            <w:pPr>
              <w:pStyle w:val="CellHeaderTextValue"/>
            </w:pPr>
            <w:r>
              <w:t>Call</w:t>
            </w:r>
          </w:p>
        </w:tc>
        <w:tc>
          <w:tcPr>
            <w:tcW w:w="0" w:type="auto"/>
          </w:tcPr>
          <w:p w14:paraId="2BFB04E7" w14:textId="77777777" w:rsidR="00401FAE" w:rsidRDefault="00787C76">
            <w:pPr>
              <w:pStyle w:val="CellHeaderTextValue"/>
            </w:pPr>
            <w:r>
              <w:t>Budgets (EUR million)</w:t>
            </w:r>
          </w:p>
        </w:tc>
        <w:tc>
          <w:tcPr>
            <w:tcW w:w="0" w:type="auto"/>
            <w:vMerge w:val="restart"/>
          </w:tcPr>
          <w:p w14:paraId="57F7D3B4" w14:textId="77777777" w:rsidR="00401FAE" w:rsidRDefault="00787C76">
            <w:pPr>
              <w:pStyle w:val="CellHeaderTextValue"/>
            </w:pPr>
            <w:r>
              <w:t>Deadline(s)</w:t>
            </w:r>
          </w:p>
        </w:tc>
      </w:tr>
      <w:tr w:rsidR="00401FAE" w14:paraId="16A5CAA4" w14:textId="77777777">
        <w:tc>
          <w:tcPr>
            <w:tcW w:w="0" w:type="auto"/>
            <w:vMerge/>
          </w:tcPr>
          <w:p w14:paraId="59FE1B4A" w14:textId="77777777" w:rsidR="00401FAE" w:rsidRDefault="00401FAE"/>
        </w:tc>
        <w:tc>
          <w:tcPr>
            <w:tcW w:w="2000" w:type="dxa"/>
          </w:tcPr>
          <w:p w14:paraId="0469D54E" w14:textId="77777777" w:rsidR="00401FAE" w:rsidRDefault="00787C76">
            <w:pPr>
              <w:pStyle w:val="CellHeaderTextValue"/>
            </w:pPr>
            <w:r>
              <w:t>2021</w:t>
            </w:r>
          </w:p>
        </w:tc>
        <w:tc>
          <w:tcPr>
            <w:tcW w:w="0" w:type="auto"/>
            <w:vMerge/>
          </w:tcPr>
          <w:p w14:paraId="6B28C8A1" w14:textId="77777777" w:rsidR="00401FAE" w:rsidRDefault="00401FAE"/>
        </w:tc>
      </w:tr>
      <w:tr w:rsidR="00401FAE" w14:paraId="07AE8E01" w14:textId="77777777">
        <w:tc>
          <w:tcPr>
            <w:tcW w:w="0" w:type="auto"/>
          </w:tcPr>
          <w:p w14:paraId="715BBCAF" w14:textId="77777777" w:rsidR="00401FAE" w:rsidRDefault="00787C76">
            <w:pPr>
              <w:pStyle w:val="CellTextValue"/>
            </w:pPr>
            <w:r>
              <w:t>HORIZON-MISS-2021-UNCAN-01</w:t>
            </w:r>
          </w:p>
        </w:tc>
        <w:tc>
          <w:tcPr>
            <w:tcW w:w="0" w:type="auto"/>
          </w:tcPr>
          <w:p w14:paraId="67626DDF" w14:textId="77777777" w:rsidR="00401FAE" w:rsidRDefault="00787C76">
            <w:pPr>
              <w:pStyle w:val="CellTextValue"/>
            </w:pPr>
            <w:r>
              <w:t>3.00</w:t>
            </w:r>
          </w:p>
        </w:tc>
        <w:tc>
          <w:tcPr>
            <w:tcW w:w="0" w:type="auto"/>
          </w:tcPr>
          <w:p w14:paraId="461DFE38" w14:textId="77777777" w:rsidR="00401FAE" w:rsidRDefault="00787C76">
            <w:pPr>
              <w:pStyle w:val="CellTextValue"/>
            </w:pPr>
            <w:r>
              <w:t>09 Sep 2021</w:t>
            </w:r>
          </w:p>
        </w:tc>
      </w:tr>
      <w:tr w:rsidR="00401FAE" w14:paraId="06AB5769" w14:textId="77777777">
        <w:tc>
          <w:tcPr>
            <w:tcW w:w="0" w:type="auto"/>
          </w:tcPr>
          <w:p w14:paraId="4E8A5FCE" w14:textId="77777777" w:rsidR="00401FAE" w:rsidRDefault="00787C76">
            <w:pPr>
              <w:pStyle w:val="CellTextValue"/>
            </w:pPr>
            <w:r>
              <w:t>Overall indicative budget</w:t>
            </w:r>
          </w:p>
        </w:tc>
        <w:tc>
          <w:tcPr>
            <w:tcW w:w="0" w:type="auto"/>
          </w:tcPr>
          <w:p w14:paraId="2D8A3874" w14:textId="77777777" w:rsidR="00401FAE" w:rsidRDefault="00787C76">
            <w:pPr>
              <w:pStyle w:val="CellTextValue"/>
            </w:pPr>
            <w:r>
              <w:t>3.00</w:t>
            </w:r>
          </w:p>
        </w:tc>
        <w:tc>
          <w:tcPr>
            <w:tcW w:w="0" w:type="auto"/>
          </w:tcPr>
          <w:p w14:paraId="2AA49315" w14:textId="77777777" w:rsidR="00401FAE" w:rsidRDefault="00401FAE"/>
        </w:tc>
      </w:tr>
    </w:tbl>
    <w:p w14:paraId="76451542" w14:textId="77777777" w:rsidR="00401FAE" w:rsidRDefault="00401FAE">
      <w:pPr>
        <w:spacing w:after="0" w:line="150" w:lineRule="auto"/>
      </w:pPr>
    </w:p>
    <w:p w14:paraId="534D7512" w14:textId="77777777" w:rsidR="00401FAE" w:rsidRDefault="00401FAE">
      <w:pPr>
        <w:pageBreakBefore/>
      </w:pPr>
    </w:p>
    <w:p w14:paraId="5D910330" w14:textId="77777777" w:rsidR="00401FAE" w:rsidRPr="00E21EA1" w:rsidRDefault="00787C76">
      <w:pPr>
        <w:pStyle w:val="HeadingTwo"/>
        <w:rPr>
          <w:lang w:val="en-IE"/>
        </w:rPr>
      </w:pPr>
      <w:bookmarkStart w:id="6" w:name="_Toc69807940"/>
      <w:r w:rsidRPr="00E21EA1">
        <w:rPr>
          <w:lang w:val="en-IE"/>
        </w:rPr>
        <w:t>Call - Preparing UNCAN.eu, a European initiative to understand cancer</w:t>
      </w:r>
      <w:bookmarkEnd w:id="6"/>
    </w:p>
    <w:p w14:paraId="1F342580" w14:textId="77777777" w:rsidR="00401FAE" w:rsidRDefault="00787C76">
      <w:pPr>
        <w:pStyle w:val="CallIdentifier"/>
      </w:pPr>
      <w:r>
        <w:t>HORIZON-MISS-2021-UNCAN-01</w:t>
      </w:r>
    </w:p>
    <w:p w14:paraId="2E8F69E8" w14:textId="77777777" w:rsidR="00401FAE" w:rsidRDefault="00787C76">
      <w:pPr>
        <w:pStyle w:val="HeadingThree"/>
      </w:pPr>
      <w:bookmarkStart w:id="7" w:name="_Toc69807941"/>
      <w:r>
        <w:t>Conditions for the Call</w:t>
      </w:r>
      <w:bookmarkEnd w:id="7"/>
    </w:p>
    <w:p w14:paraId="4EDEAAEB" w14:textId="77777777" w:rsidR="00401FAE" w:rsidRDefault="00787C76">
      <w:r>
        <w:rPr>
          <w:u w:val="single"/>
        </w:rPr>
        <w:t>Indicative budget(s)</w:t>
      </w:r>
      <w:r>
        <w:rPr>
          <w:vertAlign w:val="superscript"/>
        </w:rPr>
        <w:footnoteReference w:id="2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84"/>
        <w:gridCol w:w="884"/>
        <w:gridCol w:w="1176"/>
        <w:gridCol w:w="1845"/>
        <w:gridCol w:w="1083"/>
      </w:tblGrid>
      <w:tr w:rsidR="00401FAE" w14:paraId="2609D463" w14:textId="77777777">
        <w:tc>
          <w:tcPr>
            <w:tcW w:w="2000" w:type="dxa"/>
            <w:vMerge w:val="restart"/>
          </w:tcPr>
          <w:p w14:paraId="4F4FD7B5" w14:textId="77777777" w:rsidR="00401FAE" w:rsidRDefault="00787C76">
            <w:pPr>
              <w:pStyle w:val="CellHeaderTextValue"/>
            </w:pPr>
            <w:r>
              <w:t>Topics</w:t>
            </w:r>
          </w:p>
        </w:tc>
        <w:tc>
          <w:tcPr>
            <w:tcW w:w="800" w:type="dxa"/>
            <w:vMerge w:val="restart"/>
          </w:tcPr>
          <w:p w14:paraId="45130888" w14:textId="77777777" w:rsidR="00401FAE" w:rsidRDefault="00787C76">
            <w:pPr>
              <w:pStyle w:val="CellHeaderTextValue"/>
            </w:pPr>
            <w:r>
              <w:t>Type of Action</w:t>
            </w:r>
          </w:p>
        </w:tc>
        <w:tc>
          <w:tcPr>
            <w:tcW w:w="0" w:type="auto"/>
          </w:tcPr>
          <w:p w14:paraId="063B11B7" w14:textId="77777777" w:rsidR="00401FAE" w:rsidRDefault="00787C76">
            <w:pPr>
              <w:pStyle w:val="CellHeaderTextValue"/>
            </w:pPr>
            <w:r>
              <w:t>Budgets (EUR million)</w:t>
            </w:r>
          </w:p>
        </w:tc>
        <w:tc>
          <w:tcPr>
            <w:tcW w:w="0" w:type="auto"/>
            <w:vMerge w:val="restart"/>
          </w:tcPr>
          <w:p w14:paraId="232357D3" w14:textId="77777777" w:rsidR="00401FAE" w:rsidRPr="00E21EA1" w:rsidRDefault="00787C76">
            <w:pPr>
              <w:pStyle w:val="CellHeaderTextValue"/>
              <w:rPr>
                <w:lang w:val="fr-BE"/>
              </w:rPr>
            </w:pPr>
            <w:r w:rsidRPr="00E21EA1">
              <w:rPr>
                <w:lang w:val="fr-BE"/>
              </w:rPr>
              <w:t>Expected EU contribution per project (EUR million)</w:t>
            </w:r>
            <w:r>
              <w:rPr>
                <w:vertAlign w:val="superscript"/>
              </w:rPr>
              <w:footnoteReference w:id="23"/>
            </w:r>
          </w:p>
        </w:tc>
        <w:tc>
          <w:tcPr>
            <w:tcW w:w="800" w:type="dxa"/>
            <w:vMerge w:val="restart"/>
          </w:tcPr>
          <w:p w14:paraId="1DECF1ED" w14:textId="77777777" w:rsidR="00401FAE" w:rsidRDefault="00787C76">
            <w:pPr>
              <w:pStyle w:val="CellHeaderTextValue"/>
            </w:pPr>
            <w:r>
              <w:t>Number of projects expected to be funded</w:t>
            </w:r>
          </w:p>
        </w:tc>
      </w:tr>
      <w:tr w:rsidR="00401FAE" w14:paraId="08F80B32" w14:textId="77777777">
        <w:tc>
          <w:tcPr>
            <w:tcW w:w="0" w:type="auto"/>
            <w:vMerge/>
          </w:tcPr>
          <w:p w14:paraId="622591C9" w14:textId="77777777" w:rsidR="00401FAE" w:rsidRDefault="00401FAE"/>
        </w:tc>
        <w:tc>
          <w:tcPr>
            <w:tcW w:w="0" w:type="auto"/>
            <w:vMerge/>
          </w:tcPr>
          <w:p w14:paraId="5656B238" w14:textId="77777777" w:rsidR="00401FAE" w:rsidRDefault="00401FAE"/>
        </w:tc>
        <w:tc>
          <w:tcPr>
            <w:tcW w:w="0" w:type="auto"/>
          </w:tcPr>
          <w:p w14:paraId="57000541" w14:textId="77777777" w:rsidR="00401FAE" w:rsidRDefault="00787C76">
            <w:pPr>
              <w:pStyle w:val="CellHeaderTextValue"/>
            </w:pPr>
            <w:r>
              <w:t>2021</w:t>
            </w:r>
          </w:p>
        </w:tc>
        <w:tc>
          <w:tcPr>
            <w:tcW w:w="0" w:type="auto"/>
            <w:vMerge/>
          </w:tcPr>
          <w:p w14:paraId="36D67292" w14:textId="77777777" w:rsidR="00401FAE" w:rsidRDefault="00401FAE"/>
        </w:tc>
        <w:tc>
          <w:tcPr>
            <w:tcW w:w="0" w:type="auto"/>
            <w:vMerge/>
          </w:tcPr>
          <w:p w14:paraId="5BF60A5A" w14:textId="77777777" w:rsidR="00401FAE" w:rsidRDefault="00401FAE"/>
        </w:tc>
      </w:tr>
      <w:tr w:rsidR="00787C76" w14:paraId="375520C4" w14:textId="77777777" w:rsidTr="00787C76">
        <w:tc>
          <w:tcPr>
            <w:tcW w:w="0" w:type="auto"/>
            <w:gridSpan w:val="5"/>
          </w:tcPr>
          <w:p w14:paraId="2ED2313E" w14:textId="77777777" w:rsidR="00401FAE" w:rsidRDefault="00787C76">
            <w:pPr>
              <w:pStyle w:val="CellTextValue"/>
              <w:jc w:val="center"/>
            </w:pPr>
            <w:r>
              <w:t>Opening: 18 May 2021</w:t>
            </w:r>
          </w:p>
          <w:p w14:paraId="50B7D437" w14:textId="77777777" w:rsidR="00401FAE" w:rsidRDefault="00787C76">
            <w:pPr>
              <w:pStyle w:val="CellTextValue"/>
              <w:jc w:val="center"/>
            </w:pPr>
            <w:r>
              <w:t>Deadline(s): 09 Sep 2021</w:t>
            </w:r>
          </w:p>
        </w:tc>
      </w:tr>
      <w:tr w:rsidR="00401FAE" w14:paraId="4130E9F3" w14:textId="77777777">
        <w:tc>
          <w:tcPr>
            <w:tcW w:w="0" w:type="auto"/>
          </w:tcPr>
          <w:p w14:paraId="57D6D06D" w14:textId="77777777" w:rsidR="00401FAE" w:rsidRDefault="00787C76">
            <w:pPr>
              <w:pStyle w:val="CellTextValue"/>
            </w:pPr>
            <w:r>
              <w:t>HORIZON-MISS-2021-UNCAN-01-01</w:t>
            </w:r>
          </w:p>
        </w:tc>
        <w:tc>
          <w:tcPr>
            <w:tcW w:w="0" w:type="auto"/>
          </w:tcPr>
          <w:p w14:paraId="6706BB8A" w14:textId="77777777" w:rsidR="00401FAE" w:rsidRDefault="00787C76">
            <w:pPr>
              <w:pStyle w:val="CellTextValue"/>
            </w:pPr>
            <w:r>
              <w:t>CSA</w:t>
            </w:r>
          </w:p>
        </w:tc>
        <w:tc>
          <w:tcPr>
            <w:tcW w:w="0" w:type="auto"/>
            <w:vMerge w:val="restart"/>
          </w:tcPr>
          <w:p w14:paraId="08558417" w14:textId="77777777" w:rsidR="00401FAE" w:rsidRDefault="00787C76">
            <w:pPr>
              <w:pStyle w:val="CellTextValue"/>
            </w:pPr>
            <w:r>
              <w:t xml:space="preserve">3.00 </w:t>
            </w:r>
            <w:r>
              <w:rPr>
                <w:vertAlign w:val="superscript"/>
              </w:rPr>
              <w:footnoteReference w:id="24"/>
            </w:r>
          </w:p>
        </w:tc>
        <w:tc>
          <w:tcPr>
            <w:tcW w:w="0" w:type="auto"/>
          </w:tcPr>
          <w:p w14:paraId="53B9097F" w14:textId="77777777" w:rsidR="00401FAE" w:rsidRDefault="00787C76">
            <w:pPr>
              <w:pStyle w:val="CellTextValue"/>
            </w:pPr>
            <w:r>
              <w:t>Around 3.00</w:t>
            </w:r>
          </w:p>
        </w:tc>
        <w:tc>
          <w:tcPr>
            <w:tcW w:w="0" w:type="auto"/>
          </w:tcPr>
          <w:p w14:paraId="7CAE2E3E" w14:textId="77777777" w:rsidR="00401FAE" w:rsidRDefault="00787C76">
            <w:pPr>
              <w:pStyle w:val="CellTextValue"/>
            </w:pPr>
            <w:r>
              <w:t>1</w:t>
            </w:r>
          </w:p>
        </w:tc>
      </w:tr>
      <w:tr w:rsidR="00401FAE" w14:paraId="00DDB842" w14:textId="77777777">
        <w:tc>
          <w:tcPr>
            <w:tcW w:w="0" w:type="auto"/>
          </w:tcPr>
          <w:p w14:paraId="0C8BD8A3" w14:textId="77777777" w:rsidR="00401FAE" w:rsidRDefault="00787C76">
            <w:pPr>
              <w:pStyle w:val="CellTextValue"/>
            </w:pPr>
            <w:r>
              <w:t>Overall indicative budget</w:t>
            </w:r>
          </w:p>
        </w:tc>
        <w:tc>
          <w:tcPr>
            <w:tcW w:w="0" w:type="auto"/>
          </w:tcPr>
          <w:p w14:paraId="6C029205" w14:textId="77777777" w:rsidR="00401FAE" w:rsidRDefault="00401FAE"/>
        </w:tc>
        <w:tc>
          <w:tcPr>
            <w:tcW w:w="0" w:type="auto"/>
          </w:tcPr>
          <w:p w14:paraId="39A8BB7C" w14:textId="77777777" w:rsidR="00401FAE" w:rsidRDefault="00787C76">
            <w:pPr>
              <w:pStyle w:val="CellTextValue"/>
            </w:pPr>
            <w:r>
              <w:t>3.00</w:t>
            </w:r>
          </w:p>
        </w:tc>
        <w:tc>
          <w:tcPr>
            <w:tcW w:w="0" w:type="auto"/>
          </w:tcPr>
          <w:p w14:paraId="192D4CA8" w14:textId="77777777" w:rsidR="00401FAE" w:rsidRDefault="00401FAE"/>
        </w:tc>
        <w:tc>
          <w:tcPr>
            <w:tcW w:w="0" w:type="auto"/>
          </w:tcPr>
          <w:p w14:paraId="79E27CE1" w14:textId="77777777" w:rsidR="00401FAE" w:rsidRDefault="00401FAE"/>
        </w:tc>
      </w:tr>
    </w:tbl>
    <w:p w14:paraId="54F25A79"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52FEED08" w14:textId="77777777" w:rsidTr="00787C76">
        <w:tc>
          <w:tcPr>
            <w:tcW w:w="0" w:type="auto"/>
            <w:gridSpan w:val="2"/>
          </w:tcPr>
          <w:p w14:paraId="7085AB06" w14:textId="77777777" w:rsidR="00401FAE" w:rsidRDefault="00787C76">
            <w:pPr>
              <w:pStyle w:val="CellTextValue"/>
            </w:pPr>
            <w:r>
              <w:rPr>
                <w:b/>
              </w:rPr>
              <w:t>General conditions relating to this call</w:t>
            </w:r>
          </w:p>
        </w:tc>
      </w:tr>
      <w:tr w:rsidR="00401FAE" w14:paraId="65CDE865" w14:textId="77777777">
        <w:tc>
          <w:tcPr>
            <w:tcW w:w="0" w:type="auto"/>
          </w:tcPr>
          <w:p w14:paraId="18D81C75" w14:textId="77777777" w:rsidR="00401FAE" w:rsidRDefault="00787C76">
            <w:pPr>
              <w:pStyle w:val="CellTextValue"/>
              <w:jc w:val="left"/>
            </w:pPr>
            <w:r>
              <w:rPr>
                <w:i/>
              </w:rPr>
              <w:t>Admissibility conditions</w:t>
            </w:r>
          </w:p>
        </w:tc>
        <w:tc>
          <w:tcPr>
            <w:tcW w:w="0" w:type="auto"/>
          </w:tcPr>
          <w:p w14:paraId="35C87219" w14:textId="77777777" w:rsidR="00401FAE" w:rsidRDefault="00787C76">
            <w:pPr>
              <w:pStyle w:val="CellTextValue"/>
            </w:pPr>
            <w:r>
              <w:rPr>
                <w:color w:val="000000"/>
              </w:rPr>
              <w:t>The conditions are described in General Annex A.</w:t>
            </w:r>
          </w:p>
        </w:tc>
      </w:tr>
      <w:tr w:rsidR="00401FAE" w14:paraId="2E78C26E" w14:textId="77777777">
        <w:tc>
          <w:tcPr>
            <w:tcW w:w="0" w:type="auto"/>
          </w:tcPr>
          <w:p w14:paraId="27595730" w14:textId="77777777" w:rsidR="00401FAE" w:rsidRDefault="00787C76">
            <w:pPr>
              <w:pStyle w:val="CellTextValue"/>
              <w:jc w:val="left"/>
            </w:pPr>
            <w:r>
              <w:rPr>
                <w:i/>
              </w:rPr>
              <w:t>Eligibility conditions</w:t>
            </w:r>
          </w:p>
        </w:tc>
        <w:tc>
          <w:tcPr>
            <w:tcW w:w="0" w:type="auto"/>
          </w:tcPr>
          <w:p w14:paraId="2972A6E1" w14:textId="77777777" w:rsidR="00401FAE" w:rsidRDefault="00787C76">
            <w:pPr>
              <w:pStyle w:val="CellTextValue"/>
            </w:pPr>
            <w:r>
              <w:rPr>
                <w:color w:val="000000"/>
              </w:rPr>
              <w:t>The conditions are described in General Annex B.</w:t>
            </w:r>
          </w:p>
        </w:tc>
      </w:tr>
      <w:tr w:rsidR="00401FAE" w14:paraId="613B5A9D" w14:textId="77777777">
        <w:tc>
          <w:tcPr>
            <w:tcW w:w="0" w:type="auto"/>
          </w:tcPr>
          <w:p w14:paraId="69C7D4BE" w14:textId="77777777" w:rsidR="00401FAE" w:rsidRDefault="00787C76">
            <w:pPr>
              <w:pStyle w:val="CellTextValue"/>
              <w:jc w:val="left"/>
            </w:pPr>
            <w:r>
              <w:rPr>
                <w:i/>
              </w:rPr>
              <w:t>Financial and operational capacity and exclusion</w:t>
            </w:r>
          </w:p>
        </w:tc>
        <w:tc>
          <w:tcPr>
            <w:tcW w:w="0" w:type="auto"/>
          </w:tcPr>
          <w:p w14:paraId="3239749C" w14:textId="77777777" w:rsidR="00401FAE" w:rsidRDefault="00787C76">
            <w:pPr>
              <w:pStyle w:val="CellTextValue"/>
            </w:pPr>
            <w:r>
              <w:rPr>
                <w:color w:val="000000"/>
              </w:rPr>
              <w:t>The criteria are described in General Annex C.</w:t>
            </w:r>
          </w:p>
        </w:tc>
      </w:tr>
      <w:tr w:rsidR="00401FAE" w14:paraId="7CA5219D" w14:textId="77777777">
        <w:tc>
          <w:tcPr>
            <w:tcW w:w="0" w:type="auto"/>
          </w:tcPr>
          <w:p w14:paraId="3D101FFD" w14:textId="77777777" w:rsidR="00401FAE" w:rsidRDefault="00787C76">
            <w:pPr>
              <w:pStyle w:val="CellTextValue"/>
              <w:jc w:val="left"/>
            </w:pPr>
            <w:r>
              <w:rPr>
                <w:i/>
              </w:rPr>
              <w:t>Award criteria</w:t>
            </w:r>
          </w:p>
        </w:tc>
        <w:tc>
          <w:tcPr>
            <w:tcW w:w="0" w:type="auto"/>
          </w:tcPr>
          <w:p w14:paraId="2EA7F66B" w14:textId="77777777" w:rsidR="00401FAE" w:rsidRDefault="00787C76">
            <w:pPr>
              <w:pStyle w:val="CellTextValue"/>
            </w:pPr>
            <w:r>
              <w:rPr>
                <w:color w:val="000000"/>
              </w:rPr>
              <w:t>The criteria are described in General Annex D.</w:t>
            </w:r>
          </w:p>
        </w:tc>
      </w:tr>
      <w:tr w:rsidR="00401FAE" w14:paraId="65448AE0" w14:textId="77777777">
        <w:tc>
          <w:tcPr>
            <w:tcW w:w="0" w:type="auto"/>
          </w:tcPr>
          <w:p w14:paraId="66076D75" w14:textId="77777777" w:rsidR="00401FAE" w:rsidRDefault="00787C76">
            <w:pPr>
              <w:pStyle w:val="CellTextValue"/>
              <w:jc w:val="left"/>
            </w:pPr>
            <w:r>
              <w:rPr>
                <w:i/>
              </w:rPr>
              <w:t>Documents</w:t>
            </w:r>
          </w:p>
        </w:tc>
        <w:tc>
          <w:tcPr>
            <w:tcW w:w="0" w:type="auto"/>
          </w:tcPr>
          <w:p w14:paraId="45FF1139" w14:textId="77777777" w:rsidR="00401FAE" w:rsidRDefault="00787C76">
            <w:pPr>
              <w:pStyle w:val="CellTextValue"/>
            </w:pPr>
            <w:r>
              <w:rPr>
                <w:color w:val="000000"/>
              </w:rPr>
              <w:t>The documents are described in General Annex E.</w:t>
            </w:r>
          </w:p>
        </w:tc>
      </w:tr>
      <w:tr w:rsidR="00401FAE" w14:paraId="4315914A" w14:textId="77777777">
        <w:tc>
          <w:tcPr>
            <w:tcW w:w="0" w:type="auto"/>
          </w:tcPr>
          <w:p w14:paraId="1190A50B" w14:textId="77777777" w:rsidR="00401FAE" w:rsidRDefault="00787C76">
            <w:pPr>
              <w:pStyle w:val="CellTextValue"/>
              <w:jc w:val="left"/>
            </w:pPr>
            <w:r>
              <w:rPr>
                <w:i/>
              </w:rPr>
              <w:t>Procedure</w:t>
            </w:r>
          </w:p>
        </w:tc>
        <w:tc>
          <w:tcPr>
            <w:tcW w:w="0" w:type="auto"/>
          </w:tcPr>
          <w:p w14:paraId="75185F86" w14:textId="77777777" w:rsidR="00401FAE" w:rsidRDefault="00787C76">
            <w:pPr>
              <w:pStyle w:val="CellTextValue"/>
            </w:pPr>
            <w:r>
              <w:rPr>
                <w:color w:val="000000"/>
              </w:rPr>
              <w:t>The procedure is described in General Annex F.</w:t>
            </w:r>
          </w:p>
        </w:tc>
      </w:tr>
      <w:tr w:rsidR="00401FAE" w14:paraId="17929B10" w14:textId="77777777">
        <w:tc>
          <w:tcPr>
            <w:tcW w:w="0" w:type="auto"/>
          </w:tcPr>
          <w:p w14:paraId="2D73963B" w14:textId="77777777" w:rsidR="00401FAE" w:rsidRDefault="00787C76">
            <w:pPr>
              <w:pStyle w:val="CellTextValue"/>
              <w:jc w:val="left"/>
            </w:pPr>
            <w:r>
              <w:rPr>
                <w:i/>
              </w:rPr>
              <w:t>Legal and financial set-up of the Grant Agreements</w:t>
            </w:r>
          </w:p>
        </w:tc>
        <w:tc>
          <w:tcPr>
            <w:tcW w:w="0" w:type="auto"/>
          </w:tcPr>
          <w:p w14:paraId="465720D0" w14:textId="77777777" w:rsidR="00401FAE" w:rsidRDefault="00787C76">
            <w:pPr>
              <w:pStyle w:val="CellTextValue"/>
            </w:pPr>
            <w:r>
              <w:rPr>
                <w:color w:val="000000"/>
              </w:rPr>
              <w:t>The rules are described in General Annex G.</w:t>
            </w:r>
          </w:p>
        </w:tc>
      </w:tr>
    </w:tbl>
    <w:p w14:paraId="6E5383EF" w14:textId="77777777" w:rsidR="00401FAE" w:rsidRDefault="00401FAE">
      <w:pPr>
        <w:spacing w:after="0" w:line="150" w:lineRule="auto"/>
      </w:pPr>
    </w:p>
    <w:p w14:paraId="14F960D6" w14:textId="77777777" w:rsidR="00401FAE" w:rsidRDefault="00787C76">
      <w:r>
        <w:t>Proposals are invited against the following topic(s):</w:t>
      </w:r>
    </w:p>
    <w:p w14:paraId="3E04B2B5" w14:textId="77777777" w:rsidR="00401FAE" w:rsidRDefault="00787C76">
      <w:pPr>
        <w:pStyle w:val="HeadingThree"/>
      </w:pPr>
      <w:bookmarkStart w:id="8" w:name="_Toc69807942"/>
      <w:r>
        <w:t>HORIZON-MISS-2021-UNCAN-01-01: Preparing UNCAN.eu, a European initiative to understand cancer</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787C76" w14:paraId="5BBF1229" w14:textId="77777777" w:rsidTr="00787C76">
        <w:tc>
          <w:tcPr>
            <w:tcW w:w="0" w:type="auto"/>
            <w:gridSpan w:val="2"/>
          </w:tcPr>
          <w:p w14:paraId="55488FBC" w14:textId="77777777" w:rsidR="00401FAE" w:rsidRDefault="00787C76">
            <w:pPr>
              <w:pStyle w:val="CellTextValue"/>
            </w:pPr>
            <w:r>
              <w:rPr>
                <w:b/>
              </w:rPr>
              <w:t>Specific conditions</w:t>
            </w:r>
          </w:p>
        </w:tc>
      </w:tr>
      <w:tr w:rsidR="00401FAE" w14:paraId="1CF51503" w14:textId="77777777">
        <w:tc>
          <w:tcPr>
            <w:tcW w:w="0" w:type="auto"/>
          </w:tcPr>
          <w:p w14:paraId="4C289A31" w14:textId="77777777" w:rsidR="00401FAE" w:rsidRDefault="00787C76">
            <w:pPr>
              <w:pStyle w:val="CellTextValue"/>
              <w:jc w:val="left"/>
            </w:pPr>
            <w:r>
              <w:rPr>
                <w:i/>
              </w:rPr>
              <w:t>Expected EU contribution per project</w:t>
            </w:r>
          </w:p>
        </w:tc>
        <w:tc>
          <w:tcPr>
            <w:tcW w:w="0" w:type="auto"/>
          </w:tcPr>
          <w:p w14:paraId="4CB027D6" w14:textId="77777777" w:rsidR="00401FAE" w:rsidRDefault="00787C76">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401FAE" w14:paraId="34278041" w14:textId="77777777">
        <w:tc>
          <w:tcPr>
            <w:tcW w:w="0" w:type="auto"/>
          </w:tcPr>
          <w:p w14:paraId="0133C685" w14:textId="77777777" w:rsidR="00401FAE" w:rsidRDefault="00787C76">
            <w:pPr>
              <w:pStyle w:val="CellTextValue"/>
              <w:jc w:val="left"/>
            </w:pPr>
            <w:r>
              <w:rPr>
                <w:i/>
              </w:rPr>
              <w:t>Indicative budget</w:t>
            </w:r>
          </w:p>
        </w:tc>
        <w:tc>
          <w:tcPr>
            <w:tcW w:w="0" w:type="auto"/>
          </w:tcPr>
          <w:p w14:paraId="3A539929" w14:textId="77777777" w:rsidR="00401FAE" w:rsidRDefault="00787C76">
            <w:pPr>
              <w:pStyle w:val="CellTextValue"/>
            </w:pPr>
            <w:r>
              <w:t>The total indicative budget for the topic is EUR 3.00 million.</w:t>
            </w:r>
          </w:p>
        </w:tc>
      </w:tr>
      <w:tr w:rsidR="00401FAE" w14:paraId="68E5D2D2" w14:textId="77777777">
        <w:tc>
          <w:tcPr>
            <w:tcW w:w="0" w:type="auto"/>
          </w:tcPr>
          <w:p w14:paraId="6A70120E" w14:textId="77777777" w:rsidR="00401FAE" w:rsidRDefault="00787C76">
            <w:pPr>
              <w:pStyle w:val="CellTextValue"/>
              <w:jc w:val="left"/>
            </w:pPr>
            <w:r>
              <w:rPr>
                <w:i/>
              </w:rPr>
              <w:t>Type of Action</w:t>
            </w:r>
          </w:p>
        </w:tc>
        <w:tc>
          <w:tcPr>
            <w:tcW w:w="0" w:type="auto"/>
          </w:tcPr>
          <w:p w14:paraId="6871981F" w14:textId="77777777" w:rsidR="00401FAE" w:rsidRDefault="00787C76">
            <w:pPr>
              <w:pStyle w:val="CellTextValue"/>
            </w:pPr>
            <w:r>
              <w:rPr>
                <w:color w:val="000000"/>
              </w:rPr>
              <w:t>Coordination and Support Actions</w:t>
            </w:r>
          </w:p>
        </w:tc>
      </w:tr>
    </w:tbl>
    <w:p w14:paraId="53D5C244" w14:textId="77777777" w:rsidR="00401FAE" w:rsidRDefault="00401FAE">
      <w:pPr>
        <w:spacing w:after="0" w:line="150" w:lineRule="auto"/>
      </w:pPr>
    </w:p>
    <w:p w14:paraId="4A8A8DD5" w14:textId="77777777" w:rsidR="00401FAE" w:rsidRDefault="00787C76">
      <w:r>
        <w:rPr>
          <w:u w:val="single"/>
        </w:rPr>
        <w:t>Expected Outcome</w:t>
      </w:r>
      <w:r>
        <w:t xml:space="preserve">: </w:t>
      </w:r>
      <w:r>
        <w:rPr>
          <w:color w:val="000000"/>
        </w:rPr>
        <w:t>Project results will contribute to the following expected outcome: a blueprint for the establishment of UNCAN.eu.</w:t>
      </w:r>
    </w:p>
    <w:p w14:paraId="40700A22" w14:textId="77777777" w:rsidR="00401FAE" w:rsidRDefault="00787C76">
      <w:r>
        <w:rPr>
          <w:color w:val="000000"/>
        </w:rPr>
        <w:t>This entails that:</w:t>
      </w:r>
    </w:p>
    <w:p w14:paraId="25418774" w14:textId="77777777" w:rsidR="00401FAE" w:rsidRDefault="00787C76" w:rsidP="00787C76">
      <w:pPr>
        <w:pStyle w:val="Paragraphedeliste"/>
        <w:numPr>
          <w:ilvl w:val="0"/>
          <w:numId w:val="11"/>
        </w:numPr>
      </w:pPr>
      <w:r>
        <w:rPr>
          <w:color w:val="000000"/>
        </w:rPr>
        <w:t>Based on an agreed strategic research and innovation agenda, academic and clinical research centres, innovators</w:t>
      </w:r>
      <w:r>
        <w:rPr>
          <w:vertAlign w:val="superscript"/>
        </w:rPr>
        <w:footnoteReference w:id="25"/>
      </w:r>
      <w:r>
        <w:rPr>
          <w:color w:val="000000"/>
        </w:rPr>
        <w:t>, Member States and Associated countries including national and regional funding agencies, policy makers, private investors, public and social sector organisations, citizen and patient advocacy organisations, and national/regional health systems, adopt the operational concept for UNCAN.eu described below, and are willing to cooperate and invest both financially and with other resources (in kind, data, knowledge);</w:t>
      </w:r>
    </w:p>
    <w:p w14:paraId="5DF64375" w14:textId="77777777" w:rsidR="00401FAE" w:rsidRDefault="00787C76" w:rsidP="00787C76">
      <w:pPr>
        <w:pStyle w:val="Paragraphedeliste"/>
        <w:numPr>
          <w:ilvl w:val="0"/>
          <w:numId w:val="11"/>
        </w:numPr>
      </w:pPr>
      <w:r>
        <w:rPr>
          <w:color w:val="000000"/>
        </w:rPr>
        <w:t xml:space="preserve">Clear answers on the European-added value, organizational, logistical, financial, and cultural feasibility, utility and sustainability of UNCAN.eu are given. </w:t>
      </w:r>
    </w:p>
    <w:p w14:paraId="4B86C2EF" w14:textId="77777777" w:rsidR="00401FAE" w:rsidRDefault="00787C76">
      <w:r>
        <w:rPr>
          <w:u w:val="single"/>
        </w:rPr>
        <w:t>Scope</w:t>
      </w:r>
      <w:r>
        <w:t xml:space="preserve">: </w:t>
      </w:r>
      <w:r>
        <w:rPr>
          <w:color w:val="000000"/>
        </w:rPr>
        <w:t>Overall and despite important progress, understanding of cancer remains incomplete, for both common and rare cancers. This requires a new level of investment in innovative research, including high-potential/high-risk projects. Therefore, a Mission on Cancer proposes a Europe-wide platform, UNCAN.eu, utilising existing, relevant research infrastructures and investing in the development of models and technologies interrogating the interactions of poorly understood cancers</w:t>
      </w:r>
      <w:r>
        <w:rPr>
          <w:vertAlign w:val="superscript"/>
        </w:rPr>
        <w:footnoteReference w:id="26"/>
      </w:r>
      <w:r>
        <w:rPr>
          <w:color w:val="000000"/>
        </w:rPr>
        <w:t xml:space="preserve"> and their host.</w:t>
      </w:r>
    </w:p>
    <w:p w14:paraId="0BF12617" w14:textId="77777777" w:rsidR="00401FAE" w:rsidRDefault="00787C76">
      <w:r>
        <w:rPr>
          <w:color w:val="000000"/>
        </w:rPr>
        <w:t>A fully-fledged UNCAN.eu initiative will:</w:t>
      </w:r>
    </w:p>
    <w:p w14:paraId="3D4EFCF9" w14:textId="77777777" w:rsidR="00401FAE" w:rsidRDefault="00787C76" w:rsidP="00787C76">
      <w:pPr>
        <w:pStyle w:val="Paragraphedeliste"/>
        <w:numPr>
          <w:ilvl w:val="0"/>
          <w:numId w:val="12"/>
        </w:numPr>
      </w:pPr>
      <w:r>
        <w:rPr>
          <w:color w:val="000000"/>
        </w:rPr>
        <w:t>Underpin all future Mission on Cancer priorities that require a better understanding of poorly understood cancers;</w:t>
      </w:r>
    </w:p>
    <w:p w14:paraId="1A4BB447" w14:textId="77777777" w:rsidR="00401FAE" w:rsidRDefault="00787C76" w:rsidP="00787C76">
      <w:pPr>
        <w:pStyle w:val="Paragraphedeliste"/>
        <w:numPr>
          <w:ilvl w:val="0"/>
          <w:numId w:val="12"/>
        </w:numPr>
      </w:pPr>
      <w:r>
        <w:rPr>
          <w:color w:val="000000"/>
        </w:rPr>
        <w:t>Agree on a strategic research and innovation agenda between afore-mentioned relevant stakeholders</w:t>
      </w:r>
    </w:p>
    <w:p w14:paraId="654FB6C5" w14:textId="77777777" w:rsidR="00401FAE" w:rsidRDefault="00787C76" w:rsidP="00787C76">
      <w:pPr>
        <w:pStyle w:val="Paragraphedeliste"/>
        <w:numPr>
          <w:ilvl w:val="0"/>
          <w:numId w:val="12"/>
        </w:numPr>
      </w:pPr>
      <w:r>
        <w:rPr>
          <w:color w:val="000000"/>
        </w:rPr>
        <w:t>Integrate innovative models and technologies with longitudinal patient data (e.g. medical images), samples and biomarkers to deliver concrete benefits for people at risk of cancer, living with and after cancer;</w:t>
      </w:r>
    </w:p>
    <w:p w14:paraId="3E239F80" w14:textId="77777777" w:rsidR="00401FAE" w:rsidRDefault="00787C76" w:rsidP="00787C76">
      <w:pPr>
        <w:pStyle w:val="Paragraphedeliste"/>
        <w:numPr>
          <w:ilvl w:val="0"/>
          <w:numId w:val="12"/>
        </w:numPr>
      </w:pPr>
      <w:r>
        <w:rPr>
          <w:color w:val="000000"/>
        </w:rPr>
        <w:t xml:space="preserve">Allow for data interoperability and re-utilisation, while guaranteeing full protection for the data subjects and applying FAIR data principles. </w:t>
      </w:r>
    </w:p>
    <w:p w14:paraId="77AAB59B" w14:textId="77777777" w:rsidR="00401FAE" w:rsidRDefault="00787C76">
      <w:r>
        <w:rPr>
          <w:color w:val="000000"/>
        </w:rPr>
        <w:t>A comprehensive understanding of the organizational, logistic, cultural and financial feasibility, utility and sustainability would be necessary before embarking on such an endeavour.</w:t>
      </w:r>
    </w:p>
    <w:p w14:paraId="6B05FFC8" w14:textId="77777777" w:rsidR="00401FAE" w:rsidRDefault="00787C76">
      <w:r>
        <w:rPr>
          <w:color w:val="000000"/>
        </w:rPr>
        <w:t>This coordination and support action aims to develop the operational concept for such an initiative.</w:t>
      </w:r>
    </w:p>
    <w:p w14:paraId="60327AE3" w14:textId="77777777" w:rsidR="00401FAE" w:rsidRDefault="00787C76">
      <w:r>
        <w:rPr>
          <w:color w:val="000000"/>
        </w:rPr>
        <w:t>The proposal should address:</w:t>
      </w:r>
    </w:p>
    <w:p w14:paraId="0BA15193" w14:textId="77777777" w:rsidR="00401FAE" w:rsidRDefault="00787C76" w:rsidP="00787C76">
      <w:pPr>
        <w:pStyle w:val="Paragraphedeliste"/>
        <w:numPr>
          <w:ilvl w:val="0"/>
          <w:numId w:val="13"/>
        </w:numPr>
      </w:pPr>
      <w:r>
        <w:rPr>
          <w:color w:val="000000"/>
        </w:rPr>
        <w:t>Integration with ESFRI European Research Infrastructures, European Reference Networks, as well as other international cancer-centred research and data initiatives (e.g. 1+Million Genomes</w:t>
      </w:r>
      <w:r>
        <w:rPr>
          <w:vertAlign w:val="superscript"/>
        </w:rPr>
        <w:footnoteReference w:id="27"/>
      </w:r>
      <w:r>
        <w:rPr>
          <w:color w:val="000000"/>
        </w:rPr>
        <w:t>, SPECTA</w:t>
      </w:r>
      <w:r>
        <w:rPr>
          <w:vertAlign w:val="superscript"/>
        </w:rPr>
        <w:footnoteReference w:id="28"/>
      </w:r>
      <w:r>
        <w:rPr>
          <w:color w:val="000000"/>
        </w:rPr>
        <w:t>, etc.), as well as data exchange with national cancer data ecosystems;</w:t>
      </w:r>
    </w:p>
    <w:p w14:paraId="46C33896" w14:textId="77777777" w:rsidR="00401FAE" w:rsidRDefault="00787C76" w:rsidP="00787C76">
      <w:pPr>
        <w:pStyle w:val="Paragraphedeliste"/>
        <w:numPr>
          <w:ilvl w:val="0"/>
          <w:numId w:val="13"/>
        </w:numPr>
      </w:pPr>
      <w:r>
        <w:rPr>
          <w:color w:val="000000"/>
        </w:rPr>
        <w:t>Sustainable and interoperable data platforms facilitating data access in compliance with data protection legislation and ethical principles, which will be developed in the framework of a future Health Research and Innovation Cloud, a thematic cloud under the European Open Science Cloud (EOSC)</w:t>
      </w:r>
      <w:r>
        <w:rPr>
          <w:vertAlign w:val="superscript"/>
        </w:rPr>
        <w:footnoteReference w:id="29"/>
      </w:r>
      <w:r>
        <w:rPr>
          <w:color w:val="000000"/>
        </w:rPr>
        <w:t>, which will also address the data requirements of the European Health Data Space (EHDS)</w:t>
      </w:r>
      <w:r>
        <w:rPr>
          <w:vertAlign w:val="superscript"/>
        </w:rPr>
        <w:footnoteReference w:id="30"/>
      </w:r>
      <w:r>
        <w:rPr>
          <w:color w:val="000000"/>
        </w:rPr>
        <w:t xml:space="preserve"> and be interoperable with it;</w:t>
      </w:r>
    </w:p>
    <w:p w14:paraId="4A5EB792" w14:textId="77777777" w:rsidR="00401FAE" w:rsidRDefault="00787C76" w:rsidP="00787C76">
      <w:pPr>
        <w:pStyle w:val="Paragraphedeliste"/>
        <w:numPr>
          <w:ilvl w:val="0"/>
          <w:numId w:val="13"/>
        </w:numPr>
      </w:pPr>
      <w:r>
        <w:rPr>
          <w:color w:val="000000"/>
        </w:rPr>
        <w:t>Integration with other platforms proposed under the Mission on Cancer and the Europe’s Beating Cancer Plan, such as a network of comprehensive cancer infrastructures and a virtual European cancer patient digital centre;</w:t>
      </w:r>
    </w:p>
    <w:p w14:paraId="2EB53727" w14:textId="77777777" w:rsidR="00401FAE" w:rsidRDefault="00787C76" w:rsidP="00787C76">
      <w:pPr>
        <w:pStyle w:val="Paragraphedeliste"/>
        <w:numPr>
          <w:ilvl w:val="0"/>
          <w:numId w:val="13"/>
        </w:numPr>
      </w:pPr>
      <w:r>
        <w:rPr>
          <w:color w:val="000000"/>
        </w:rPr>
        <w:t>Mechanisms for determining clinical priorities and development of new models and technologies to interrogate the interactions of cancers and their host;</w:t>
      </w:r>
    </w:p>
    <w:p w14:paraId="7911A835" w14:textId="77777777" w:rsidR="00401FAE" w:rsidRDefault="00787C76" w:rsidP="00787C76">
      <w:pPr>
        <w:pStyle w:val="Paragraphedeliste"/>
        <w:numPr>
          <w:ilvl w:val="0"/>
          <w:numId w:val="13"/>
        </w:numPr>
      </w:pPr>
      <w:r>
        <w:rPr>
          <w:color w:val="000000"/>
        </w:rPr>
        <w:t>Mechanisms for regular training on operating the UNCAN.eu platform as well as data management to all data holders and users;</w:t>
      </w:r>
    </w:p>
    <w:p w14:paraId="356EFFAD" w14:textId="77777777" w:rsidR="00401FAE" w:rsidRDefault="00787C76" w:rsidP="00787C76">
      <w:pPr>
        <w:pStyle w:val="Paragraphedeliste"/>
        <w:numPr>
          <w:ilvl w:val="0"/>
          <w:numId w:val="13"/>
        </w:numPr>
      </w:pPr>
      <w:r>
        <w:rPr>
          <w:color w:val="000000"/>
        </w:rPr>
        <w:t>Potential links with Horizon Europe health cluster partnerships, in particular: the Innovative Health Initiative; the partnership on Personalised Medicine; the Transformation of Health and Care Systems partnership as well as the partnership on Rare Diseases and the Partnership for the Assessment of Risk from Chemicals.</w:t>
      </w:r>
    </w:p>
    <w:p w14:paraId="7E536497" w14:textId="77777777" w:rsidR="00401FAE" w:rsidRDefault="00787C76" w:rsidP="00787C76">
      <w:pPr>
        <w:pStyle w:val="Paragraphedeliste"/>
        <w:numPr>
          <w:ilvl w:val="0"/>
          <w:numId w:val="13"/>
        </w:numPr>
      </w:pPr>
      <w:r>
        <w:rPr>
          <w:color w:val="000000"/>
        </w:rPr>
        <w:t>Providing a mechanism for regular consultation with EU regions, Member States and Associated countries, who should be engaged from the early steps of development;</w:t>
      </w:r>
    </w:p>
    <w:p w14:paraId="6046DF67" w14:textId="77777777" w:rsidR="00401FAE" w:rsidRDefault="00787C76" w:rsidP="00787C76">
      <w:pPr>
        <w:pStyle w:val="Paragraphedeliste"/>
        <w:numPr>
          <w:ilvl w:val="0"/>
          <w:numId w:val="13"/>
        </w:numPr>
      </w:pPr>
      <w:r>
        <w:rPr>
          <w:color w:val="000000"/>
        </w:rPr>
        <w:t>Potential links with EU4Health actions relevant for cancer;</w:t>
      </w:r>
    </w:p>
    <w:p w14:paraId="19F557A6" w14:textId="77777777" w:rsidR="00401FAE" w:rsidRDefault="00787C76" w:rsidP="00787C76">
      <w:pPr>
        <w:pStyle w:val="Paragraphedeliste"/>
        <w:numPr>
          <w:ilvl w:val="0"/>
          <w:numId w:val="13"/>
        </w:numPr>
      </w:pPr>
      <w:r>
        <w:rPr>
          <w:color w:val="000000"/>
        </w:rPr>
        <w:t>Links to federated data spaces of genomic data and medical images under the Digital Europe programme;</w:t>
      </w:r>
    </w:p>
    <w:p w14:paraId="74303DFD" w14:textId="77777777" w:rsidR="00401FAE" w:rsidRDefault="00787C76" w:rsidP="00787C76">
      <w:pPr>
        <w:pStyle w:val="Paragraphedeliste"/>
        <w:numPr>
          <w:ilvl w:val="0"/>
          <w:numId w:val="13"/>
        </w:numPr>
      </w:pPr>
      <w:r>
        <w:rPr>
          <w:color w:val="000000"/>
        </w:rPr>
        <w:t>Equitable access. Broad representation, in particular of less-developed regions or regions from countries striving to boost their research and innovation potential, is highly encouraged;</w:t>
      </w:r>
    </w:p>
    <w:p w14:paraId="79C70612" w14:textId="77777777" w:rsidR="00401FAE" w:rsidRDefault="00787C76" w:rsidP="00787C76">
      <w:pPr>
        <w:pStyle w:val="Paragraphedeliste"/>
        <w:numPr>
          <w:ilvl w:val="0"/>
          <w:numId w:val="13"/>
        </w:numPr>
      </w:pPr>
      <w:r>
        <w:rPr>
          <w:color w:val="000000"/>
        </w:rPr>
        <w:t>Engagement with citizen and patient advocacy organisations;</w:t>
      </w:r>
    </w:p>
    <w:p w14:paraId="6340E7C8" w14:textId="77777777" w:rsidR="00401FAE" w:rsidRDefault="00787C76" w:rsidP="00787C76">
      <w:pPr>
        <w:pStyle w:val="Paragraphedeliste"/>
        <w:numPr>
          <w:ilvl w:val="0"/>
          <w:numId w:val="13"/>
        </w:numPr>
      </w:pPr>
      <w:r>
        <w:rPr>
          <w:color w:val="000000"/>
        </w:rPr>
        <w:t>Utility, feasibility, sustainability;</w:t>
      </w:r>
    </w:p>
    <w:p w14:paraId="4C08DE9D" w14:textId="77777777" w:rsidR="00401FAE" w:rsidRDefault="00787C76" w:rsidP="00787C76">
      <w:pPr>
        <w:pStyle w:val="Paragraphedeliste"/>
        <w:numPr>
          <w:ilvl w:val="0"/>
          <w:numId w:val="13"/>
        </w:numPr>
      </w:pPr>
      <w:r>
        <w:rPr>
          <w:color w:val="000000"/>
        </w:rPr>
        <w:t xml:space="preserve">Due consideration to newly EU-funded initiatives such as HealthyCloud, EOSC-Life and the EHDS Joint Action. Links with topic HORIZON-INFRA-EOSC-2021-01-07; objectives are encouraged as well as with topic HORIZON-INFRA-SERV-2021-01-02 objectives. </w:t>
      </w:r>
    </w:p>
    <w:p w14:paraId="0B5109A6" w14:textId="77777777" w:rsidR="00401FAE" w:rsidRDefault="00787C76">
      <w:pPr>
        <w:pStyle w:val="HeadingOne"/>
        <w:pageBreakBefore/>
      </w:pPr>
      <w:bookmarkStart w:id="9" w:name="_Toc69807943"/>
      <w:r>
        <w:t>Mission: Ocean, seas and waters</w:t>
      </w:r>
      <w:bookmarkEnd w:id="9"/>
    </w:p>
    <w:p w14:paraId="3EEBEC43" w14:textId="77777777" w:rsidR="00401FAE" w:rsidRDefault="00787C76">
      <w:r>
        <w:rPr>
          <w:color w:val="000000"/>
        </w:rPr>
        <w:t>The intended objectives of the mission are by 2030: to clean marine and fresh waters, restore degraded ecosystems and habitats and decarbonise the Blue Economy, in order to sustainably harness the essential goods and services they provide. To enable the delivery of these objectives the mission also covers enhanced communication, dissemination and outreach strategy ensuring wide involvement of public bodies, scientific community, businesses and other stakeholders and citizens. Full implementation of the mission is subject to confirmation following the preparatory phase.</w:t>
      </w:r>
    </w:p>
    <w:p w14:paraId="7BD3A0B3" w14:textId="77777777" w:rsidR="00401FAE" w:rsidRDefault="00787C76">
      <w:r>
        <w:rPr>
          <w:color w:val="000000"/>
        </w:rPr>
        <w:t>Proposals for topics in this preparatory phase of the identified mission should set out a credible pathway to contribute to the objectives of the mission Ocean, Seas and Waters, and more specifically to all of the following impacts:</w:t>
      </w:r>
    </w:p>
    <w:p w14:paraId="00C8F57B" w14:textId="77777777" w:rsidR="00401FAE" w:rsidRDefault="00787C76" w:rsidP="00787C76">
      <w:pPr>
        <w:pStyle w:val="Paragraphedeliste"/>
        <w:numPr>
          <w:ilvl w:val="0"/>
          <w:numId w:val="14"/>
        </w:numPr>
      </w:pPr>
      <w:r>
        <w:rPr>
          <w:color w:val="000000"/>
        </w:rPr>
        <w:t>Regeneration of marine and water ecosystems</w:t>
      </w:r>
    </w:p>
    <w:p w14:paraId="387E2C4D" w14:textId="77777777" w:rsidR="00401FAE" w:rsidRDefault="00787C76" w:rsidP="00787C76">
      <w:pPr>
        <w:pStyle w:val="Paragraphedeliste"/>
        <w:numPr>
          <w:ilvl w:val="0"/>
          <w:numId w:val="14"/>
        </w:numPr>
      </w:pPr>
      <w:r>
        <w:rPr>
          <w:color w:val="000000"/>
        </w:rPr>
        <w:t>Zero pollution in marine and water ecosystems</w:t>
      </w:r>
    </w:p>
    <w:p w14:paraId="5B765DCA" w14:textId="77777777" w:rsidR="00401FAE" w:rsidRDefault="00787C76" w:rsidP="00787C76">
      <w:pPr>
        <w:pStyle w:val="Paragraphedeliste"/>
        <w:numPr>
          <w:ilvl w:val="0"/>
          <w:numId w:val="14"/>
        </w:numPr>
      </w:pPr>
      <w:r>
        <w:rPr>
          <w:color w:val="000000"/>
        </w:rPr>
        <w:t xml:space="preserve">Decarbonisation of the Blue Economy sectors  </w:t>
      </w:r>
    </w:p>
    <w:p w14:paraId="66F8EF30"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37"/>
        <w:gridCol w:w="2000"/>
        <w:gridCol w:w="1430"/>
      </w:tblGrid>
      <w:tr w:rsidR="00401FAE" w14:paraId="3B0CD14B" w14:textId="77777777">
        <w:tc>
          <w:tcPr>
            <w:tcW w:w="0" w:type="auto"/>
            <w:vMerge w:val="restart"/>
          </w:tcPr>
          <w:p w14:paraId="76FCF859" w14:textId="77777777" w:rsidR="00401FAE" w:rsidRDefault="00787C76">
            <w:pPr>
              <w:pStyle w:val="CellHeaderTextValue"/>
            </w:pPr>
            <w:r>
              <w:t>Call</w:t>
            </w:r>
          </w:p>
        </w:tc>
        <w:tc>
          <w:tcPr>
            <w:tcW w:w="0" w:type="auto"/>
          </w:tcPr>
          <w:p w14:paraId="61D06E75" w14:textId="77777777" w:rsidR="00401FAE" w:rsidRDefault="00787C76">
            <w:pPr>
              <w:pStyle w:val="CellHeaderTextValue"/>
            </w:pPr>
            <w:r>
              <w:t>Budgets (EUR million)</w:t>
            </w:r>
          </w:p>
        </w:tc>
        <w:tc>
          <w:tcPr>
            <w:tcW w:w="0" w:type="auto"/>
            <w:vMerge w:val="restart"/>
          </w:tcPr>
          <w:p w14:paraId="142A6FB9" w14:textId="77777777" w:rsidR="00401FAE" w:rsidRDefault="00787C76">
            <w:pPr>
              <w:pStyle w:val="CellHeaderTextValue"/>
            </w:pPr>
            <w:r>
              <w:t>Deadline(s)</w:t>
            </w:r>
          </w:p>
        </w:tc>
      </w:tr>
      <w:tr w:rsidR="00401FAE" w14:paraId="41E1E948" w14:textId="77777777">
        <w:tc>
          <w:tcPr>
            <w:tcW w:w="0" w:type="auto"/>
            <w:vMerge/>
          </w:tcPr>
          <w:p w14:paraId="75C5EFDA" w14:textId="77777777" w:rsidR="00401FAE" w:rsidRDefault="00401FAE"/>
        </w:tc>
        <w:tc>
          <w:tcPr>
            <w:tcW w:w="2000" w:type="dxa"/>
          </w:tcPr>
          <w:p w14:paraId="458F7495" w14:textId="77777777" w:rsidR="00401FAE" w:rsidRDefault="00787C76">
            <w:pPr>
              <w:pStyle w:val="CellHeaderTextValue"/>
            </w:pPr>
            <w:r>
              <w:t>2021</w:t>
            </w:r>
          </w:p>
        </w:tc>
        <w:tc>
          <w:tcPr>
            <w:tcW w:w="0" w:type="auto"/>
            <w:vMerge/>
          </w:tcPr>
          <w:p w14:paraId="2B7851AB" w14:textId="77777777" w:rsidR="00401FAE" w:rsidRDefault="00401FAE"/>
        </w:tc>
      </w:tr>
      <w:tr w:rsidR="00401FAE" w14:paraId="04E8EBFA" w14:textId="77777777">
        <w:tc>
          <w:tcPr>
            <w:tcW w:w="0" w:type="auto"/>
          </w:tcPr>
          <w:p w14:paraId="12BF5908" w14:textId="77777777" w:rsidR="00401FAE" w:rsidRDefault="00787C76">
            <w:pPr>
              <w:pStyle w:val="CellTextValue"/>
            </w:pPr>
            <w:r>
              <w:t>HORIZON-MISS-2021-OCEAN-01</w:t>
            </w:r>
          </w:p>
        </w:tc>
        <w:tc>
          <w:tcPr>
            <w:tcW w:w="0" w:type="auto"/>
          </w:tcPr>
          <w:p w14:paraId="51C754A2" w14:textId="77777777" w:rsidR="00401FAE" w:rsidRDefault="00787C76">
            <w:pPr>
              <w:pStyle w:val="CellTextValue"/>
            </w:pPr>
            <w:r>
              <w:t>5.00</w:t>
            </w:r>
          </w:p>
        </w:tc>
        <w:tc>
          <w:tcPr>
            <w:tcW w:w="0" w:type="auto"/>
          </w:tcPr>
          <w:p w14:paraId="6706A4B0" w14:textId="77777777" w:rsidR="00401FAE" w:rsidRDefault="00787C76">
            <w:pPr>
              <w:pStyle w:val="CellTextValue"/>
            </w:pPr>
            <w:r>
              <w:t>09 Sep 2021</w:t>
            </w:r>
          </w:p>
        </w:tc>
      </w:tr>
      <w:tr w:rsidR="00401FAE" w14:paraId="00C268DF" w14:textId="77777777">
        <w:tc>
          <w:tcPr>
            <w:tcW w:w="0" w:type="auto"/>
          </w:tcPr>
          <w:p w14:paraId="76B188D8" w14:textId="77777777" w:rsidR="00401FAE" w:rsidRDefault="00787C76">
            <w:pPr>
              <w:pStyle w:val="CellTextValue"/>
            </w:pPr>
            <w:r>
              <w:t>Overall indicative budget</w:t>
            </w:r>
          </w:p>
        </w:tc>
        <w:tc>
          <w:tcPr>
            <w:tcW w:w="0" w:type="auto"/>
          </w:tcPr>
          <w:p w14:paraId="13DBBB0F" w14:textId="77777777" w:rsidR="00401FAE" w:rsidRDefault="00787C76">
            <w:pPr>
              <w:pStyle w:val="CellTextValue"/>
            </w:pPr>
            <w:r>
              <w:t>5.00</w:t>
            </w:r>
          </w:p>
        </w:tc>
        <w:tc>
          <w:tcPr>
            <w:tcW w:w="0" w:type="auto"/>
          </w:tcPr>
          <w:p w14:paraId="6FA3FA33" w14:textId="77777777" w:rsidR="00401FAE" w:rsidRDefault="00401FAE"/>
        </w:tc>
      </w:tr>
    </w:tbl>
    <w:p w14:paraId="3D3DEDAE" w14:textId="77777777" w:rsidR="00401FAE" w:rsidRDefault="00401FAE">
      <w:pPr>
        <w:spacing w:after="0" w:line="150" w:lineRule="auto"/>
      </w:pPr>
    </w:p>
    <w:p w14:paraId="0BD40EAC" w14:textId="77777777" w:rsidR="00401FAE" w:rsidRDefault="00401FAE">
      <w:pPr>
        <w:pageBreakBefore/>
      </w:pPr>
    </w:p>
    <w:p w14:paraId="61438EFC" w14:textId="77777777" w:rsidR="00401FAE" w:rsidRPr="00E21EA1" w:rsidRDefault="00787C76">
      <w:pPr>
        <w:pStyle w:val="HeadingTwo"/>
        <w:rPr>
          <w:lang w:val="en-IE"/>
        </w:rPr>
      </w:pPr>
      <w:bookmarkStart w:id="10" w:name="_Toc69807944"/>
      <w:r w:rsidRPr="00E21EA1">
        <w:rPr>
          <w:lang w:val="en-IE"/>
        </w:rPr>
        <w:t>Call - Preparation for deployment of ‘lighthouse demonstrators’ and solution scale ups and cross-cutting citizen and stakeholder involvement</w:t>
      </w:r>
      <w:bookmarkEnd w:id="10"/>
    </w:p>
    <w:p w14:paraId="77D143B8" w14:textId="77777777" w:rsidR="00401FAE" w:rsidRDefault="00787C76">
      <w:pPr>
        <w:pStyle w:val="CallIdentifier"/>
      </w:pPr>
      <w:r>
        <w:t>HORIZON-MISS-2021-OCEAN-01</w:t>
      </w:r>
    </w:p>
    <w:p w14:paraId="321FD272" w14:textId="77777777" w:rsidR="00401FAE" w:rsidRDefault="00787C76">
      <w:pPr>
        <w:pStyle w:val="HeadingThree"/>
      </w:pPr>
      <w:bookmarkStart w:id="11" w:name="_Toc69807945"/>
      <w:r>
        <w:t>Conditions for the Call</w:t>
      </w:r>
      <w:bookmarkEnd w:id="11"/>
    </w:p>
    <w:p w14:paraId="09D928C6" w14:textId="77777777" w:rsidR="00401FAE" w:rsidRDefault="00787C76">
      <w:r>
        <w:rPr>
          <w:u w:val="single"/>
        </w:rPr>
        <w:t>Indicative budget(s)</w:t>
      </w:r>
      <w:r>
        <w:rPr>
          <w:vertAlign w:val="superscript"/>
        </w:rPr>
        <w:footnoteReference w:id="3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57"/>
        <w:gridCol w:w="884"/>
        <w:gridCol w:w="1183"/>
        <w:gridCol w:w="1865"/>
        <w:gridCol w:w="1083"/>
      </w:tblGrid>
      <w:tr w:rsidR="00401FAE" w14:paraId="68CA9DD0" w14:textId="77777777">
        <w:tc>
          <w:tcPr>
            <w:tcW w:w="2000" w:type="dxa"/>
            <w:vMerge w:val="restart"/>
          </w:tcPr>
          <w:p w14:paraId="6AFDE0BC" w14:textId="77777777" w:rsidR="00401FAE" w:rsidRDefault="00787C76">
            <w:pPr>
              <w:pStyle w:val="CellHeaderTextValue"/>
            </w:pPr>
            <w:r>
              <w:t>Topics</w:t>
            </w:r>
          </w:p>
        </w:tc>
        <w:tc>
          <w:tcPr>
            <w:tcW w:w="800" w:type="dxa"/>
            <w:vMerge w:val="restart"/>
          </w:tcPr>
          <w:p w14:paraId="28A37DF7" w14:textId="77777777" w:rsidR="00401FAE" w:rsidRDefault="00787C76">
            <w:pPr>
              <w:pStyle w:val="CellHeaderTextValue"/>
            </w:pPr>
            <w:r>
              <w:t>Type of Action</w:t>
            </w:r>
          </w:p>
        </w:tc>
        <w:tc>
          <w:tcPr>
            <w:tcW w:w="0" w:type="auto"/>
          </w:tcPr>
          <w:p w14:paraId="23243557" w14:textId="77777777" w:rsidR="00401FAE" w:rsidRDefault="00787C76">
            <w:pPr>
              <w:pStyle w:val="CellHeaderTextValue"/>
            </w:pPr>
            <w:r>
              <w:t>Budgets (EUR million)</w:t>
            </w:r>
          </w:p>
        </w:tc>
        <w:tc>
          <w:tcPr>
            <w:tcW w:w="0" w:type="auto"/>
            <w:vMerge w:val="restart"/>
          </w:tcPr>
          <w:p w14:paraId="3F1EFE75" w14:textId="77777777" w:rsidR="00401FAE" w:rsidRPr="00E21EA1" w:rsidRDefault="00787C76">
            <w:pPr>
              <w:pStyle w:val="CellHeaderTextValue"/>
              <w:rPr>
                <w:lang w:val="fr-BE"/>
              </w:rPr>
            </w:pPr>
            <w:r w:rsidRPr="00E21EA1">
              <w:rPr>
                <w:lang w:val="fr-BE"/>
              </w:rPr>
              <w:t>Expected EU contribution per project (EUR million)</w:t>
            </w:r>
            <w:r>
              <w:rPr>
                <w:vertAlign w:val="superscript"/>
              </w:rPr>
              <w:footnoteReference w:id="32"/>
            </w:r>
          </w:p>
        </w:tc>
        <w:tc>
          <w:tcPr>
            <w:tcW w:w="800" w:type="dxa"/>
            <w:vMerge w:val="restart"/>
          </w:tcPr>
          <w:p w14:paraId="23149CA8" w14:textId="77777777" w:rsidR="00401FAE" w:rsidRDefault="00787C76">
            <w:pPr>
              <w:pStyle w:val="CellHeaderTextValue"/>
            </w:pPr>
            <w:r>
              <w:t>Number of projects expected to be funded</w:t>
            </w:r>
          </w:p>
        </w:tc>
      </w:tr>
      <w:tr w:rsidR="00401FAE" w14:paraId="2107D020" w14:textId="77777777">
        <w:tc>
          <w:tcPr>
            <w:tcW w:w="0" w:type="auto"/>
            <w:vMerge/>
          </w:tcPr>
          <w:p w14:paraId="40152B06" w14:textId="77777777" w:rsidR="00401FAE" w:rsidRDefault="00401FAE"/>
        </w:tc>
        <w:tc>
          <w:tcPr>
            <w:tcW w:w="0" w:type="auto"/>
            <w:vMerge/>
          </w:tcPr>
          <w:p w14:paraId="072065B1" w14:textId="77777777" w:rsidR="00401FAE" w:rsidRDefault="00401FAE"/>
        </w:tc>
        <w:tc>
          <w:tcPr>
            <w:tcW w:w="0" w:type="auto"/>
          </w:tcPr>
          <w:p w14:paraId="00E9E8FB" w14:textId="77777777" w:rsidR="00401FAE" w:rsidRDefault="00787C76">
            <w:pPr>
              <w:pStyle w:val="CellHeaderTextValue"/>
            </w:pPr>
            <w:r>
              <w:t>2021</w:t>
            </w:r>
          </w:p>
        </w:tc>
        <w:tc>
          <w:tcPr>
            <w:tcW w:w="0" w:type="auto"/>
            <w:vMerge/>
          </w:tcPr>
          <w:p w14:paraId="289BA912" w14:textId="77777777" w:rsidR="00401FAE" w:rsidRDefault="00401FAE"/>
        </w:tc>
        <w:tc>
          <w:tcPr>
            <w:tcW w:w="0" w:type="auto"/>
            <w:vMerge/>
          </w:tcPr>
          <w:p w14:paraId="76B1E0BE" w14:textId="77777777" w:rsidR="00401FAE" w:rsidRDefault="00401FAE"/>
        </w:tc>
      </w:tr>
      <w:tr w:rsidR="00787C76" w14:paraId="4642EE0B" w14:textId="77777777" w:rsidTr="00787C76">
        <w:tc>
          <w:tcPr>
            <w:tcW w:w="0" w:type="auto"/>
            <w:gridSpan w:val="5"/>
          </w:tcPr>
          <w:p w14:paraId="43C8177E" w14:textId="77777777" w:rsidR="00401FAE" w:rsidRDefault="00787C76">
            <w:pPr>
              <w:pStyle w:val="CellTextValue"/>
              <w:jc w:val="center"/>
            </w:pPr>
            <w:r>
              <w:t>Opening: 18 May 2021</w:t>
            </w:r>
          </w:p>
          <w:p w14:paraId="6E3A1BA1" w14:textId="77777777" w:rsidR="00401FAE" w:rsidRDefault="00787C76">
            <w:pPr>
              <w:pStyle w:val="CellTextValue"/>
              <w:jc w:val="center"/>
            </w:pPr>
            <w:r>
              <w:t>Deadline(s): 09 Sep 2021</w:t>
            </w:r>
          </w:p>
        </w:tc>
      </w:tr>
      <w:tr w:rsidR="00401FAE" w14:paraId="32AF0B81" w14:textId="77777777">
        <w:tc>
          <w:tcPr>
            <w:tcW w:w="0" w:type="auto"/>
          </w:tcPr>
          <w:p w14:paraId="10B2EDE5" w14:textId="77777777" w:rsidR="00401FAE" w:rsidRDefault="00787C76">
            <w:pPr>
              <w:pStyle w:val="CellTextValue"/>
            </w:pPr>
            <w:r>
              <w:t>HORIZON-MISS-2021-OCEAN-01-01</w:t>
            </w:r>
          </w:p>
        </w:tc>
        <w:tc>
          <w:tcPr>
            <w:tcW w:w="0" w:type="auto"/>
          </w:tcPr>
          <w:p w14:paraId="3B5D3220" w14:textId="77777777" w:rsidR="00401FAE" w:rsidRDefault="00787C76">
            <w:pPr>
              <w:pStyle w:val="CellTextValue"/>
            </w:pPr>
            <w:r>
              <w:t>CSA</w:t>
            </w:r>
          </w:p>
        </w:tc>
        <w:tc>
          <w:tcPr>
            <w:tcW w:w="0" w:type="auto"/>
            <w:vMerge w:val="restart"/>
          </w:tcPr>
          <w:p w14:paraId="0158B77E" w14:textId="77777777" w:rsidR="00401FAE" w:rsidRDefault="00787C76">
            <w:pPr>
              <w:pStyle w:val="CellTextValue"/>
            </w:pPr>
            <w:r>
              <w:t xml:space="preserve">5.00 </w:t>
            </w:r>
            <w:r>
              <w:rPr>
                <w:vertAlign w:val="superscript"/>
              </w:rPr>
              <w:footnoteReference w:id="33"/>
            </w:r>
          </w:p>
        </w:tc>
        <w:tc>
          <w:tcPr>
            <w:tcW w:w="0" w:type="auto"/>
          </w:tcPr>
          <w:p w14:paraId="43840349" w14:textId="77777777" w:rsidR="00401FAE" w:rsidRDefault="00787C76">
            <w:pPr>
              <w:pStyle w:val="CellTextValue"/>
            </w:pPr>
            <w:r>
              <w:t>Around 5.00</w:t>
            </w:r>
          </w:p>
        </w:tc>
        <w:tc>
          <w:tcPr>
            <w:tcW w:w="0" w:type="auto"/>
          </w:tcPr>
          <w:p w14:paraId="3A7EEF4C" w14:textId="77777777" w:rsidR="00401FAE" w:rsidRDefault="00787C76">
            <w:pPr>
              <w:pStyle w:val="CellTextValue"/>
            </w:pPr>
            <w:r>
              <w:t>1</w:t>
            </w:r>
          </w:p>
        </w:tc>
      </w:tr>
      <w:tr w:rsidR="00401FAE" w14:paraId="057DF44B" w14:textId="77777777">
        <w:tc>
          <w:tcPr>
            <w:tcW w:w="0" w:type="auto"/>
          </w:tcPr>
          <w:p w14:paraId="005925FD" w14:textId="77777777" w:rsidR="00401FAE" w:rsidRDefault="00787C76">
            <w:pPr>
              <w:pStyle w:val="CellTextValue"/>
            </w:pPr>
            <w:r>
              <w:t>Overall indicative budget</w:t>
            </w:r>
          </w:p>
        </w:tc>
        <w:tc>
          <w:tcPr>
            <w:tcW w:w="0" w:type="auto"/>
          </w:tcPr>
          <w:p w14:paraId="77131161" w14:textId="77777777" w:rsidR="00401FAE" w:rsidRDefault="00401FAE"/>
        </w:tc>
        <w:tc>
          <w:tcPr>
            <w:tcW w:w="0" w:type="auto"/>
          </w:tcPr>
          <w:p w14:paraId="318EB877" w14:textId="77777777" w:rsidR="00401FAE" w:rsidRDefault="00787C76">
            <w:pPr>
              <w:pStyle w:val="CellTextValue"/>
            </w:pPr>
            <w:r>
              <w:t>5.00</w:t>
            </w:r>
          </w:p>
        </w:tc>
        <w:tc>
          <w:tcPr>
            <w:tcW w:w="0" w:type="auto"/>
          </w:tcPr>
          <w:p w14:paraId="4B47899E" w14:textId="77777777" w:rsidR="00401FAE" w:rsidRDefault="00401FAE"/>
        </w:tc>
        <w:tc>
          <w:tcPr>
            <w:tcW w:w="0" w:type="auto"/>
          </w:tcPr>
          <w:p w14:paraId="12774AD1" w14:textId="77777777" w:rsidR="00401FAE" w:rsidRDefault="00401FAE"/>
        </w:tc>
      </w:tr>
    </w:tbl>
    <w:p w14:paraId="4C1195D8"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13961B7E" w14:textId="77777777" w:rsidTr="00787C76">
        <w:tc>
          <w:tcPr>
            <w:tcW w:w="0" w:type="auto"/>
            <w:gridSpan w:val="2"/>
          </w:tcPr>
          <w:p w14:paraId="59AE6CF0" w14:textId="77777777" w:rsidR="00401FAE" w:rsidRDefault="00787C76">
            <w:pPr>
              <w:pStyle w:val="CellTextValue"/>
            </w:pPr>
            <w:r>
              <w:rPr>
                <w:b/>
              </w:rPr>
              <w:t>General conditions relating to this call</w:t>
            </w:r>
          </w:p>
        </w:tc>
      </w:tr>
      <w:tr w:rsidR="00401FAE" w14:paraId="7F966BDE" w14:textId="77777777">
        <w:tc>
          <w:tcPr>
            <w:tcW w:w="0" w:type="auto"/>
          </w:tcPr>
          <w:p w14:paraId="00A95E42" w14:textId="77777777" w:rsidR="00401FAE" w:rsidRDefault="00787C76">
            <w:pPr>
              <w:pStyle w:val="CellTextValue"/>
              <w:jc w:val="left"/>
            </w:pPr>
            <w:r>
              <w:rPr>
                <w:i/>
              </w:rPr>
              <w:t>Admissibility conditions</w:t>
            </w:r>
          </w:p>
        </w:tc>
        <w:tc>
          <w:tcPr>
            <w:tcW w:w="0" w:type="auto"/>
          </w:tcPr>
          <w:p w14:paraId="7C91C744" w14:textId="77777777" w:rsidR="00401FAE" w:rsidRDefault="00787C76">
            <w:pPr>
              <w:pStyle w:val="CellTextValue"/>
            </w:pPr>
            <w:r>
              <w:rPr>
                <w:color w:val="000000"/>
              </w:rPr>
              <w:t>The conditions are described in General Annex A.</w:t>
            </w:r>
          </w:p>
        </w:tc>
      </w:tr>
      <w:tr w:rsidR="00401FAE" w14:paraId="67FCD8A9" w14:textId="77777777">
        <w:tc>
          <w:tcPr>
            <w:tcW w:w="0" w:type="auto"/>
          </w:tcPr>
          <w:p w14:paraId="48B52C3E" w14:textId="77777777" w:rsidR="00401FAE" w:rsidRDefault="00787C76">
            <w:pPr>
              <w:pStyle w:val="CellTextValue"/>
              <w:jc w:val="left"/>
            </w:pPr>
            <w:r>
              <w:rPr>
                <w:i/>
              </w:rPr>
              <w:t>Eligibility conditions</w:t>
            </w:r>
          </w:p>
        </w:tc>
        <w:tc>
          <w:tcPr>
            <w:tcW w:w="0" w:type="auto"/>
          </w:tcPr>
          <w:p w14:paraId="696F2575" w14:textId="77777777" w:rsidR="00401FAE" w:rsidRDefault="00787C76">
            <w:pPr>
              <w:pStyle w:val="CellTextValue"/>
            </w:pPr>
            <w:r>
              <w:rPr>
                <w:color w:val="000000"/>
              </w:rPr>
              <w:t>The conditions are described in General Annex B.</w:t>
            </w:r>
          </w:p>
        </w:tc>
      </w:tr>
      <w:tr w:rsidR="00401FAE" w14:paraId="1EEC5AB8" w14:textId="77777777">
        <w:tc>
          <w:tcPr>
            <w:tcW w:w="0" w:type="auto"/>
          </w:tcPr>
          <w:p w14:paraId="6A10BF75" w14:textId="77777777" w:rsidR="00401FAE" w:rsidRDefault="00787C76">
            <w:pPr>
              <w:pStyle w:val="CellTextValue"/>
              <w:jc w:val="left"/>
            </w:pPr>
            <w:r>
              <w:rPr>
                <w:i/>
              </w:rPr>
              <w:t>Financial and operational capacity and exclusion</w:t>
            </w:r>
          </w:p>
        </w:tc>
        <w:tc>
          <w:tcPr>
            <w:tcW w:w="0" w:type="auto"/>
          </w:tcPr>
          <w:p w14:paraId="1F8DD335" w14:textId="77777777" w:rsidR="00401FAE" w:rsidRDefault="00787C76">
            <w:pPr>
              <w:pStyle w:val="CellTextValue"/>
            </w:pPr>
            <w:r>
              <w:rPr>
                <w:color w:val="000000"/>
              </w:rPr>
              <w:t>The criteria are described in General Annex C.</w:t>
            </w:r>
          </w:p>
        </w:tc>
      </w:tr>
      <w:tr w:rsidR="00401FAE" w14:paraId="4EB476E1" w14:textId="77777777">
        <w:tc>
          <w:tcPr>
            <w:tcW w:w="0" w:type="auto"/>
          </w:tcPr>
          <w:p w14:paraId="6C60FCBD" w14:textId="77777777" w:rsidR="00401FAE" w:rsidRDefault="00787C76">
            <w:pPr>
              <w:pStyle w:val="CellTextValue"/>
              <w:jc w:val="left"/>
            </w:pPr>
            <w:r>
              <w:rPr>
                <w:i/>
              </w:rPr>
              <w:t>Award criteria</w:t>
            </w:r>
          </w:p>
        </w:tc>
        <w:tc>
          <w:tcPr>
            <w:tcW w:w="0" w:type="auto"/>
          </w:tcPr>
          <w:p w14:paraId="5FCCCBD4" w14:textId="77777777" w:rsidR="00401FAE" w:rsidRDefault="00787C76">
            <w:pPr>
              <w:pStyle w:val="CellTextValue"/>
            </w:pPr>
            <w:r>
              <w:rPr>
                <w:color w:val="000000"/>
              </w:rPr>
              <w:t>The criteria are described in General Annex D.</w:t>
            </w:r>
          </w:p>
        </w:tc>
      </w:tr>
      <w:tr w:rsidR="00401FAE" w14:paraId="3617CCAD" w14:textId="77777777">
        <w:tc>
          <w:tcPr>
            <w:tcW w:w="0" w:type="auto"/>
          </w:tcPr>
          <w:p w14:paraId="7C418108" w14:textId="77777777" w:rsidR="00401FAE" w:rsidRDefault="00787C76">
            <w:pPr>
              <w:pStyle w:val="CellTextValue"/>
              <w:jc w:val="left"/>
            </w:pPr>
            <w:r>
              <w:rPr>
                <w:i/>
              </w:rPr>
              <w:t>Documents</w:t>
            </w:r>
          </w:p>
        </w:tc>
        <w:tc>
          <w:tcPr>
            <w:tcW w:w="0" w:type="auto"/>
          </w:tcPr>
          <w:p w14:paraId="7800144D" w14:textId="77777777" w:rsidR="00401FAE" w:rsidRDefault="00787C76">
            <w:pPr>
              <w:pStyle w:val="CellTextValue"/>
            </w:pPr>
            <w:r>
              <w:rPr>
                <w:color w:val="000000"/>
              </w:rPr>
              <w:t>The documents are described in General Annex E.</w:t>
            </w:r>
          </w:p>
        </w:tc>
      </w:tr>
      <w:tr w:rsidR="00401FAE" w14:paraId="351E9051" w14:textId="77777777">
        <w:tc>
          <w:tcPr>
            <w:tcW w:w="0" w:type="auto"/>
          </w:tcPr>
          <w:p w14:paraId="4A13E8AE" w14:textId="77777777" w:rsidR="00401FAE" w:rsidRDefault="00787C76">
            <w:pPr>
              <w:pStyle w:val="CellTextValue"/>
              <w:jc w:val="left"/>
            </w:pPr>
            <w:r>
              <w:rPr>
                <w:i/>
              </w:rPr>
              <w:t>Procedure</w:t>
            </w:r>
          </w:p>
        </w:tc>
        <w:tc>
          <w:tcPr>
            <w:tcW w:w="0" w:type="auto"/>
          </w:tcPr>
          <w:p w14:paraId="78D24143" w14:textId="77777777" w:rsidR="00401FAE" w:rsidRDefault="00787C76">
            <w:pPr>
              <w:pStyle w:val="CellTextValue"/>
            </w:pPr>
            <w:r>
              <w:rPr>
                <w:color w:val="000000"/>
              </w:rPr>
              <w:t>The procedure is described in General Annex F.</w:t>
            </w:r>
          </w:p>
        </w:tc>
      </w:tr>
      <w:tr w:rsidR="00401FAE" w14:paraId="5E196459" w14:textId="77777777">
        <w:tc>
          <w:tcPr>
            <w:tcW w:w="0" w:type="auto"/>
          </w:tcPr>
          <w:p w14:paraId="70933955" w14:textId="77777777" w:rsidR="00401FAE" w:rsidRDefault="00787C76">
            <w:pPr>
              <w:pStyle w:val="CellTextValue"/>
              <w:jc w:val="left"/>
            </w:pPr>
            <w:r>
              <w:rPr>
                <w:i/>
              </w:rPr>
              <w:t>Legal and financial set-up of the Grant Agreements</w:t>
            </w:r>
          </w:p>
        </w:tc>
        <w:tc>
          <w:tcPr>
            <w:tcW w:w="0" w:type="auto"/>
          </w:tcPr>
          <w:p w14:paraId="5B0B5DC6" w14:textId="77777777" w:rsidR="00401FAE" w:rsidRDefault="00787C76">
            <w:pPr>
              <w:pStyle w:val="CellTextValue"/>
            </w:pPr>
            <w:r>
              <w:rPr>
                <w:color w:val="000000"/>
              </w:rPr>
              <w:t>The rules are described in General Annex G.</w:t>
            </w:r>
          </w:p>
        </w:tc>
      </w:tr>
    </w:tbl>
    <w:p w14:paraId="0F2B87FF" w14:textId="77777777" w:rsidR="00401FAE" w:rsidRDefault="00401FAE">
      <w:pPr>
        <w:spacing w:after="0" w:line="150" w:lineRule="auto"/>
      </w:pPr>
    </w:p>
    <w:p w14:paraId="140CF710" w14:textId="77777777" w:rsidR="00401FAE" w:rsidRDefault="00787C76">
      <w:r>
        <w:t>Proposals are invited against the following topic(s):</w:t>
      </w:r>
    </w:p>
    <w:p w14:paraId="506EE7D8" w14:textId="77777777" w:rsidR="00401FAE" w:rsidRDefault="00787C76">
      <w:pPr>
        <w:pStyle w:val="HeadingThree"/>
      </w:pPr>
      <w:bookmarkStart w:id="12" w:name="_Toc69807946"/>
      <w:r>
        <w:t>HORIZON-MISS-2021-OCEAN-01-01: Preparation for deployment of lighthouse demonstrators and solution scale ups and cross-cutting citizen and stakeholder involvement</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787C76" w14:paraId="1293D271" w14:textId="77777777" w:rsidTr="00787C76">
        <w:tc>
          <w:tcPr>
            <w:tcW w:w="0" w:type="auto"/>
            <w:gridSpan w:val="2"/>
          </w:tcPr>
          <w:p w14:paraId="49C12ACD" w14:textId="77777777" w:rsidR="00401FAE" w:rsidRDefault="00787C76">
            <w:pPr>
              <w:pStyle w:val="CellTextValue"/>
            </w:pPr>
            <w:r>
              <w:rPr>
                <w:b/>
              </w:rPr>
              <w:t>Specific conditions</w:t>
            </w:r>
          </w:p>
        </w:tc>
      </w:tr>
      <w:tr w:rsidR="00401FAE" w14:paraId="1C6B0C19" w14:textId="77777777">
        <w:tc>
          <w:tcPr>
            <w:tcW w:w="0" w:type="auto"/>
          </w:tcPr>
          <w:p w14:paraId="4BFCF5F8" w14:textId="77777777" w:rsidR="00401FAE" w:rsidRDefault="00787C76">
            <w:pPr>
              <w:pStyle w:val="CellTextValue"/>
              <w:jc w:val="left"/>
            </w:pPr>
            <w:r>
              <w:rPr>
                <w:i/>
              </w:rPr>
              <w:t>Expected EU contribution per project</w:t>
            </w:r>
          </w:p>
        </w:tc>
        <w:tc>
          <w:tcPr>
            <w:tcW w:w="0" w:type="auto"/>
          </w:tcPr>
          <w:p w14:paraId="4274F86C" w14:textId="77777777" w:rsidR="00401FAE" w:rsidRDefault="00787C76">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1FAE" w14:paraId="214D0033" w14:textId="77777777">
        <w:tc>
          <w:tcPr>
            <w:tcW w:w="0" w:type="auto"/>
          </w:tcPr>
          <w:p w14:paraId="51BBCBC9" w14:textId="77777777" w:rsidR="00401FAE" w:rsidRDefault="00787C76">
            <w:pPr>
              <w:pStyle w:val="CellTextValue"/>
              <w:jc w:val="left"/>
            </w:pPr>
            <w:r>
              <w:rPr>
                <w:i/>
              </w:rPr>
              <w:t>Indicative budget</w:t>
            </w:r>
          </w:p>
        </w:tc>
        <w:tc>
          <w:tcPr>
            <w:tcW w:w="0" w:type="auto"/>
          </w:tcPr>
          <w:p w14:paraId="2C85BA68" w14:textId="77777777" w:rsidR="00401FAE" w:rsidRDefault="00787C76">
            <w:pPr>
              <w:pStyle w:val="CellTextValue"/>
            </w:pPr>
            <w:r>
              <w:t>The total indicative budget for the topic is EUR 5.00 million.</w:t>
            </w:r>
          </w:p>
        </w:tc>
      </w:tr>
      <w:tr w:rsidR="00401FAE" w14:paraId="315587DB" w14:textId="77777777">
        <w:tc>
          <w:tcPr>
            <w:tcW w:w="0" w:type="auto"/>
          </w:tcPr>
          <w:p w14:paraId="220D64E5" w14:textId="77777777" w:rsidR="00401FAE" w:rsidRDefault="00787C76">
            <w:pPr>
              <w:pStyle w:val="CellTextValue"/>
              <w:jc w:val="left"/>
            </w:pPr>
            <w:r>
              <w:rPr>
                <w:i/>
              </w:rPr>
              <w:t>Type of Action</w:t>
            </w:r>
          </w:p>
        </w:tc>
        <w:tc>
          <w:tcPr>
            <w:tcW w:w="0" w:type="auto"/>
          </w:tcPr>
          <w:p w14:paraId="76E459CA" w14:textId="77777777" w:rsidR="00401FAE" w:rsidRDefault="00787C76">
            <w:pPr>
              <w:pStyle w:val="CellTextValue"/>
            </w:pPr>
            <w:r>
              <w:rPr>
                <w:color w:val="000000"/>
              </w:rPr>
              <w:t>Coordination and Support Actions</w:t>
            </w:r>
          </w:p>
        </w:tc>
      </w:tr>
      <w:tr w:rsidR="00401FAE" w14:paraId="1063DB1E" w14:textId="77777777">
        <w:tc>
          <w:tcPr>
            <w:tcW w:w="0" w:type="auto"/>
          </w:tcPr>
          <w:p w14:paraId="39499E92" w14:textId="77777777" w:rsidR="00401FAE" w:rsidRDefault="00787C76">
            <w:pPr>
              <w:pStyle w:val="CellTextValue"/>
              <w:jc w:val="left"/>
            </w:pPr>
            <w:r>
              <w:rPr>
                <w:i/>
              </w:rPr>
              <w:t>Eligibility conditions</w:t>
            </w:r>
          </w:p>
        </w:tc>
        <w:tc>
          <w:tcPr>
            <w:tcW w:w="0" w:type="auto"/>
          </w:tcPr>
          <w:p w14:paraId="585521DA" w14:textId="77777777" w:rsidR="00401FAE" w:rsidRDefault="00787C76">
            <w:pPr>
              <w:pStyle w:val="CellTextValue"/>
            </w:pPr>
            <w:r>
              <w:rPr>
                <w:color w:val="000000"/>
              </w:rPr>
              <w:t>The conditions are described in General Annex B. The following exceptions apply:</w:t>
            </w:r>
          </w:p>
          <w:p w14:paraId="550087BA" w14:textId="77777777" w:rsidR="00401FAE" w:rsidRDefault="00787C76">
            <w:pPr>
              <w:pStyle w:val="CellTextValue"/>
            </w:pPr>
            <w:r>
              <w:rPr>
                <w:color w:val="000000"/>
              </w:rPr>
              <w:t>The Joint Research Centre (JRC) may participate as member of the consortium selected for funding.</w:t>
            </w:r>
          </w:p>
        </w:tc>
      </w:tr>
    </w:tbl>
    <w:p w14:paraId="61D9BAA1" w14:textId="77777777" w:rsidR="00401FAE" w:rsidRDefault="00401FAE">
      <w:pPr>
        <w:spacing w:after="0" w:line="150" w:lineRule="auto"/>
      </w:pPr>
    </w:p>
    <w:p w14:paraId="78D99D2F" w14:textId="77777777" w:rsidR="00401FAE" w:rsidRDefault="00787C76">
      <w:r>
        <w:rPr>
          <w:u w:val="single"/>
        </w:rPr>
        <w:t>Expected Outcome</w:t>
      </w:r>
      <w:r>
        <w:t xml:space="preserve">: </w:t>
      </w:r>
      <w:r>
        <w:rPr>
          <w:color w:val="000000"/>
        </w:rPr>
        <w:t>Project results are expected to contribute to all of the following expected outcomes:</w:t>
      </w:r>
    </w:p>
    <w:p w14:paraId="4F700717" w14:textId="77777777" w:rsidR="00401FAE" w:rsidRDefault="00787C76" w:rsidP="00787C76">
      <w:pPr>
        <w:pStyle w:val="Paragraphedeliste"/>
        <w:numPr>
          <w:ilvl w:val="0"/>
          <w:numId w:val="15"/>
        </w:numPr>
      </w:pPr>
      <w:r>
        <w:rPr>
          <w:color w:val="000000"/>
        </w:rPr>
        <w:t xml:space="preserve">Enhanced preparation for an effective deployment of the mission research and innovation core in the Member States / Associated countries and communities: improved capacity to identify areas and solutions for effective ‘lighthouse demonstrators’ and improved capacity to identify solutions for scale ups, comparability and coherence of outcomes across Member States / Associated countries and effective and timely deployment and de-risking of scale ups to fully and timely achieve the mission objectives; </w:t>
      </w:r>
    </w:p>
    <w:p w14:paraId="17CCD04E" w14:textId="77777777" w:rsidR="00401FAE" w:rsidRDefault="00787C76" w:rsidP="00787C76">
      <w:pPr>
        <w:pStyle w:val="Paragraphedeliste"/>
        <w:numPr>
          <w:ilvl w:val="0"/>
          <w:numId w:val="15"/>
        </w:numPr>
      </w:pPr>
      <w:r>
        <w:rPr>
          <w:color w:val="000000"/>
        </w:rPr>
        <w:t>Transformative and systemic portfolio approach to solutions addressing the challenges which the ocean, seas and waters are facing, fostering collective social responsibility and demonstrating implementation of ecosystem based management</w:t>
      </w:r>
      <w:r>
        <w:rPr>
          <w:vertAlign w:val="superscript"/>
        </w:rPr>
        <w:footnoteReference w:id="34"/>
      </w:r>
      <w:r>
        <w:rPr>
          <w:color w:val="000000"/>
        </w:rPr>
        <w:t>;</w:t>
      </w:r>
    </w:p>
    <w:p w14:paraId="275FF6BC" w14:textId="77777777" w:rsidR="00401FAE" w:rsidRDefault="00787C76" w:rsidP="00787C76">
      <w:pPr>
        <w:pStyle w:val="Paragraphedeliste"/>
        <w:numPr>
          <w:ilvl w:val="0"/>
          <w:numId w:val="15"/>
        </w:numPr>
      </w:pPr>
      <w:r>
        <w:rPr>
          <w:color w:val="000000"/>
        </w:rPr>
        <w:t>Increased awareness of stakeholders and citizens about the mission’s objectives, programmes and tools and about the possibilities for their contribution to the mission, as well as improved access of stakeholders (scientific community, businesses, local and regional communities, NGOs and others) to programmes and instruments supporting restoration, conservation and sustainable use of the ocean, seas and waters;</w:t>
      </w:r>
    </w:p>
    <w:p w14:paraId="27895F31" w14:textId="77777777" w:rsidR="00401FAE" w:rsidRDefault="00787C76" w:rsidP="00787C76">
      <w:pPr>
        <w:pStyle w:val="Paragraphedeliste"/>
        <w:numPr>
          <w:ilvl w:val="0"/>
          <w:numId w:val="15"/>
        </w:numPr>
      </w:pPr>
      <w:r>
        <w:rPr>
          <w:color w:val="000000"/>
        </w:rPr>
        <w:t xml:space="preserve">Full and early uptake and support of the mission by the governments of the Member States and Associated countries, regional and local communities, scientific community, businesses and other stakeholders and citizens. </w:t>
      </w:r>
    </w:p>
    <w:p w14:paraId="5C15ACEC" w14:textId="77777777" w:rsidR="00401FAE" w:rsidRDefault="00787C76">
      <w:r>
        <w:rPr>
          <w:u w:val="single"/>
        </w:rPr>
        <w:t>Scope</w:t>
      </w:r>
      <w:r>
        <w:t xml:space="preserve">: </w:t>
      </w:r>
      <w:r>
        <w:rPr>
          <w:color w:val="000000"/>
        </w:rPr>
        <w:t xml:space="preserve"> </w:t>
      </w:r>
    </w:p>
    <w:p w14:paraId="4697B692" w14:textId="77777777" w:rsidR="00401FAE" w:rsidRDefault="00787C76">
      <w:r>
        <w:rPr>
          <w:color w:val="000000"/>
        </w:rPr>
        <w:t>This action aims to prepare the implementation of Mission Ocean, Seas and Waters, with a particular focus on providing support for effective and timely deployment of the mission research and innovation core</w:t>
      </w:r>
      <w:r>
        <w:rPr>
          <w:vertAlign w:val="superscript"/>
        </w:rPr>
        <w:footnoteReference w:id="35"/>
      </w:r>
      <w:r>
        <w:rPr>
          <w:color w:val="000000"/>
        </w:rPr>
        <w:t xml:space="preserve"> and for crosscutting citizen and stakeholder</w:t>
      </w:r>
      <w:r>
        <w:rPr>
          <w:vertAlign w:val="superscript"/>
        </w:rPr>
        <w:footnoteReference w:id="36"/>
      </w:r>
      <w:r>
        <w:rPr>
          <w:color w:val="000000"/>
        </w:rPr>
        <w:t xml:space="preserve"> involvement during the identification, design and implementation of the mission.</w:t>
      </w:r>
    </w:p>
    <w:p w14:paraId="4543DAE7" w14:textId="77777777" w:rsidR="00401FAE" w:rsidRDefault="00787C76">
      <w:r>
        <w:rPr>
          <w:color w:val="000000"/>
        </w:rPr>
        <w:t>The research and innovation core of the mission should aim at discovering and identifying novel solutions and innovations needed to address the societal challenges at the core of the mission and demonstrating through a network of ‘lighthouse demonstrators'</w:t>
      </w:r>
      <w:r>
        <w:rPr>
          <w:vertAlign w:val="superscript"/>
        </w:rPr>
        <w:footnoteReference w:id="37"/>
      </w:r>
      <w:r>
        <w:rPr>
          <w:color w:val="000000"/>
        </w:rPr>
        <w:t xml:space="preserve"> their effectiveness and feasibility, for their future scale up and full deployment. The mission research and innovation core should be developed in line with and deliver on the Green Deal priorities and also contribute directly to the digital transition. </w:t>
      </w:r>
    </w:p>
    <w:p w14:paraId="57319DEB" w14:textId="77777777" w:rsidR="00401FAE" w:rsidRDefault="00787C76">
      <w:r>
        <w:rPr>
          <w:color w:val="000000"/>
        </w:rPr>
        <w:t xml:space="preserve">In close co-operation with the Mission Core Network </w:t>
      </w:r>
      <w:r>
        <w:rPr>
          <w:vertAlign w:val="superscript"/>
        </w:rPr>
        <w:footnoteReference w:id="38"/>
      </w:r>
      <w:r>
        <w:rPr>
          <w:color w:val="000000"/>
        </w:rPr>
        <w:t>,</w:t>
      </w:r>
      <w:r>
        <w:rPr>
          <w:b/>
          <w:color w:val="000000"/>
        </w:rPr>
        <w:t xml:space="preserve"> </w:t>
      </w:r>
      <w:r>
        <w:rPr>
          <w:color w:val="000000"/>
        </w:rPr>
        <w:t>this action should prepare the ground for effective Mission deployment and for the identification, future scale-up and full deployment of these ‘lighthouse demonstrators’, including the following activities:</w:t>
      </w:r>
    </w:p>
    <w:p w14:paraId="25841D95" w14:textId="77777777" w:rsidR="00401FAE" w:rsidRDefault="00787C76" w:rsidP="00787C76">
      <w:pPr>
        <w:pStyle w:val="Paragraphedeliste"/>
        <w:numPr>
          <w:ilvl w:val="0"/>
          <w:numId w:val="16"/>
        </w:numPr>
      </w:pPr>
      <w:r>
        <w:rPr>
          <w:color w:val="000000"/>
        </w:rPr>
        <w:t xml:space="preserve">Develop, test and pilot methodologies for:        </w:t>
      </w:r>
    </w:p>
    <w:p w14:paraId="586FB578" w14:textId="77777777" w:rsidR="00401FAE" w:rsidRDefault="00787C76" w:rsidP="00787C76">
      <w:pPr>
        <w:pStyle w:val="Paragraphedeliste"/>
        <w:numPr>
          <w:ilvl w:val="1"/>
          <w:numId w:val="16"/>
        </w:numPr>
      </w:pPr>
      <w:r>
        <w:rPr>
          <w:color w:val="000000"/>
        </w:rPr>
        <w:t>the identification and selection of place-based ‘lighthouse demonstrators’ (to test, pilot, demonstrate, upscale and de-risk solutions and innovations in specific, real conditions), building on existing European innovation assets and R&amp;I infrastructure</w:t>
      </w:r>
      <w:r>
        <w:rPr>
          <w:vertAlign w:val="superscript"/>
        </w:rPr>
        <w:footnoteReference w:id="39"/>
      </w:r>
      <w:r>
        <w:rPr>
          <w:color w:val="000000"/>
        </w:rPr>
        <w:t xml:space="preserve">.    </w:t>
      </w:r>
    </w:p>
    <w:p w14:paraId="50919C5A" w14:textId="77777777" w:rsidR="00401FAE" w:rsidRDefault="00787C76" w:rsidP="00787C76">
      <w:pPr>
        <w:pStyle w:val="Paragraphedeliste"/>
        <w:numPr>
          <w:ilvl w:val="1"/>
          <w:numId w:val="16"/>
        </w:numPr>
      </w:pPr>
      <w:r>
        <w:rPr>
          <w:color w:val="000000"/>
        </w:rPr>
        <w:t>assessing the feasibility of the scale up of projects, actions or already ongoing initiatives, existing solutions or infrastructures focusing on ecosystem restoration and ecosystem based management, on zero pollution in marine and water ecosystems and on decarbonisation of Blue Economy sectors, including a systemic perspective and allowing for input of various types of expertise</w:t>
      </w:r>
      <w:r>
        <w:rPr>
          <w:vertAlign w:val="superscript"/>
        </w:rPr>
        <w:footnoteReference w:id="40"/>
      </w:r>
      <w:r>
        <w:rPr>
          <w:color w:val="000000"/>
        </w:rPr>
        <w:t xml:space="preserve"> and promoting multi-actor and multidisciplinary approaches.    </w:t>
      </w:r>
    </w:p>
    <w:p w14:paraId="7D2807C7" w14:textId="77777777" w:rsidR="00401FAE" w:rsidRDefault="00787C76" w:rsidP="00787C76">
      <w:pPr>
        <w:pStyle w:val="Paragraphedeliste"/>
        <w:numPr>
          <w:ilvl w:val="1"/>
          <w:numId w:val="16"/>
        </w:numPr>
      </w:pPr>
      <w:r>
        <w:rPr>
          <w:color w:val="000000"/>
        </w:rPr>
        <w:t>preparing for the digital transformation and integrating the ‘lighthouse demonstrators’ with the European digital initiatives</w:t>
      </w:r>
      <w:r>
        <w:rPr>
          <w:vertAlign w:val="superscript"/>
        </w:rPr>
        <w:footnoteReference w:id="41"/>
      </w:r>
      <w:r>
        <w:rPr>
          <w:color w:val="000000"/>
        </w:rPr>
        <w:t xml:space="preserve">.    </w:t>
      </w:r>
    </w:p>
    <w:p w14:paraId="03BF4A64" w14:textId="77777777" w:rsidR="00401FAE" w:rsidRDefault="00787C76" w:rsidP="00787C76">
      <w:pPr>
        <w:pStyle w:val="Paragraphedeliste"/>
        <w:numPr>
          <w:ilvl w:val="1"/>
          <w:numId w:val="16"/>
        </w:numPr>
      </w:pPr>
      <w:r>
        <w:rPr>
          <w:color w:val="000000"/>
        </w:rPr>
        <w:t xml:space="preserve">the development of inter-connected ‘lighthouse demonstrator’ networks allowing efficient exchanges of expertise and best practices and close cooperation to explore synergies, complementarities and solutions and innovations for deployment and scale up.   </w:t>
      </w:r>
    </w:p>
    <w:p w14:paraId="5C95A3C9" w14:textId="77777777" w:rsidR="00401FAE" w:rsidRDefault="00787C76" w:rsidP="00787C76">
      <w:pPr>
        <w:pStyle w:val="Paragraphedeliste"/>
        <w:numPr>
          <w:ilvl w:val="0"/>
          <w:numId w:val="16"/>
        </w:numPr>
      </w:pPr>
      <w:r>
        <w:rPr>
          <w:color w:val="000000"/>
        </w:rPr>
        <w:t xml:space="preserve">Develop, test and pilot a set of methodologies for inclusion in lighthouse demonstrators and national mission hubs. These methodologies should be twofold. Firstly, they should enable the ‘lighthouse demonstrators’ and national mission hubs to achieve high quality and fit-for-purpose demonstration and ensure efficient preparation for scaling up of innovations from TRL 5, including digital solutions. Secondly, these methodologies should enable the co-creation and management of actions and projects with citizens and relevant stakeholders, based on co-creative working methods to ensure the highest degree of deployment of solutions and their fast and effective adoption by the beneficiaries. The action should also identify areas where use of such methodologies and approaches would be most effective in achieving tangible results. </w:t>
      </w:r>
    </w:p>
    <w:p w14:paraId="73B93E77" w14:textId="77777777" w:rsidR="00401FAE" w:rsidRDefault="00787C76" w:rsidP="00787C76">
      <w:pPr>
        <w:pStyle w:val="Paragraphedeliste"/>
        <w:numPr>
          <w:ilvl w:val="0"/>
          <w:numId w:val="16"/>
        </w:numPr>
      </w:pPr>
      <w:r>
        <w:rPr>
          <w:color w:val="000000"/>
        </w:rPr>
        <w:t>Develop and pilot a concept for an EU-wide network of citizens/stakeholder assemblies to bring all key actors together to ensure a successful implementation of the proposed mission. This would also require the necessary facilitators</w:t>
      </w:r>
      <w:r>
        <w:rPr>
          <w:vertAlign w:val="superscript"/>
        </w:rPr>
        <w:footnoteReference w:id="42"/>
      </w:r>
      <w:r>
        <w:rPr>
          <w:color w:val="000000"/>
        </w:rPr>
        <w:t xml:space="preserve"> to ensure the most suitable delivery of bottom up participation and ownership. The action should develop a roll out plan for this network, including other resources needed to enable effective citizen and stakeholder involvement in ‘lighthouse demonstrators’, national mission hubs and other related activities of the mission resulting in tangible contributions from these actors to the mission. This concept should include trainings and qualification requirements for facilitators, as well as best practices on how to manage and resource this network.</w:t>
      </w:r>
    </w:p>
    <w:p w14:paraId="249E6361" w14:textId="77777777" w:rsidR="00401FAE" w:rsidRDefault="00787C76" w:rsidP="00787C76">
      <w:pPr>
        <w:pStyle w:val="Paragraphedeliste"/>
        <w:numPr>
          <w:ilvl w:val="0"/>
          <w:numId w:val="16"/>
        </w:numPr>
      </w:pPr>
      <w:r>
        <w:rPr>
          <w:color w:val="000000"/>
        </w:rPr>
        <w:t xml:space="preserve">Map and facilitate synergies in the context of the below initiatives, by identifying opportunities for the creation of important R&amp;I-related enabling conditions and skills in support of reaching the mission objectives:        </w:t>
      </w:r>
    </w:p>
    <w:p w14:paraId="6B57355C" w14:textId="77777777" w:rsidR="00401FAE" w:rsidRDefault="00787C76" w:rsidP="00787C76">
      <w:pPr>
        <w:pStyle w:val="Paragraphedeliste"/>
        <w:numPr>
          <w:ilvl w:val="1"/>
          <w:numId w:val="16"/>
        </w:numPr>
      </w:pPr>
      <w:r>
        <w:rPr>
          <w:color w:val="000000"/>
        </w:rPr>
        <w:t xml:space="preserve">the skills agenda (ESF+) to create the needed capacities and skills;    </w:t>
      </w:r>
    </w:p>
    <w:p w14:paraId="0BA70250" w14:textId="77777777" w:rsidR="00401FAE" w:rsidRDefault="00787C76" w:rsidP="00787C76">
      <w:pPr>
        <w:pStyle w:val="Paragraphedeliste"/>
        <w:numPr>
          <w:ilvl w:val="1"/>
          <w:numId w:val="16"/>
        </w:numPr>
      </w:pPr>
      <w:r>
        <w:rPr>
          <w:color w:val="000000"/>
        </w:rPr>
        <w:t xml:space="preserve">The ERASMUS+ programme;    </w:t>
      </w:r>
    </w:p>
    <w:p w14:paraId="21105C27" w14:textId="77777777" w:rsidR="00401FAE" w:rsidRDefault="00787C76" w:rsidP="00787C76">
      <w:pPr>
        <w:pStyle w:val="Paragraphedeliste"/>
        <w:numPr>
          <w:ilvl w:val="1"/>
          <w:numId w:val="16"/>
        </w:numPr>
      </w:pPr>
      <w:r>
        <w:rPr>
          <w:color w:val="000000"/>
        </w:rPr>
        <w:t xml:space="preserve">Horizon Europe instruments, including those of bottom-up nature like ERC, MSCA, EIT KICs, as well as its European partnerships and other missions;    </w:t>
      </w:r>
    </w:p>
    <w:p w14:paraId="0BAC1AA4" w14:textId="77777777" w:rsidR="00401FAE" w:rsidRDefault="00787C76" w:rsidP="00787C76">
      <w:pPr>
        <w:pStyle w:val="Paragraphedeliste"/>
        <w:numPr>
          <w:ilvl w:val="1"/>
          <w:numId w:val="16"/>
        </w:numPr>
      </w:pPr>
      <w:r>
        <w:rPr>
          <w:color w:val="000000"/>
        </w:rPr>
        <w:t xml:space="preserve">the European Innovation Fund,    </w:t>
      </w:r>
    </w:p>
    <w:p w14:paraId="6486AA37" w14:textId="77777777" w:rsidR="00401FAE" w:rsidRDefault="00787C76" w:rsidP="00787C76">
      <w:pPr>
        <w:pStyle w:val="Paragraphedeliste"/>
        <w:numPr>
          <w:ilvl w:val="1"/>
          <w:numId w:val="16"/>
        </w:numPr>
      </w:pPr>
      <w:r>
        <w:rPr>
          <w:color w:val="000000"/>
        </w:rPr>
        <w:t xml:space="preserve">the Digital Europe Programme;    </w:t>
      </w:r>
    </w:p>
    <w:p w14:paraId="1D3CF95E" w14:textId="77777777" w:rsidR="00401FAE" w:rsidRDefault="00787C76" w:rsidP="00787C76">
      <w:pPr>
        <w:pStyle w:val="Paragraphedeliste"/>
        <w:numPr>
          <w:ilvl w:val="1"/>
          <w:numId w:val="16"/>
        </w:numPr>
      </w:pPr>
      <w:r>
        <w:rPr>
          <w:color w:val="000000"/>
        </w:rPr>
        <w:t xml:space="preserve">the Space Programme; and    </w:t>
      </w:r>
    </w:p>
    <w:p w14:paraId="47374884" w14:textId="77777777" w:rsidR="00401FAE" w:rsidRDefault="00787C76" w:rsidP="00787C76">
      <w:pPr>
        <w:pStyle w:val="Paragraphedeliste"/>
        <w:numPr>
          <w:ilvl w:val="1"/>
          <w:numId w:val="16"/>
        </w:numPr>
      </w:pPr>
      <w:r>
        <w:rPr>
          <w:color w:val="000000"/>
        </w:rPr>
        <w:t xml:space="preserve">other relevant EU, national and or regional programmes and instruments.   </w:t>
      </w:r>
    </w:p>
    <w:p w14:paraId="2EE5C0BA" w14:textId="77777777" w:rsidR="00401FAE" w:rsidRDefault="00787C76" w:rsidP="00787C76">
      <w:pPr>
        <w:pStyle w:val="Paragraphedeliste"/>
        <w:numPr>
          <w:ilvl w:val="0"/>
          <w:numId w:val="16"/>
        </w:numPr>
      </w:pPr>
      <w:r>
        <w:rPr>
          <w:color w:val="000000"/>
        </w:rPr>
        <w:t xml:space="preserve">Contribute to the mission outreach, dissemination and communication strategy and plan by providing visionary visual examples tailor made for various audiences of what a successful ‘lighthouse demonstrators’ could bring to communities in terms of public goods solutions (e.g. how would success look like in 10 years’ time, if those envisaged solutions would be successfully deployed). </w:t>
      </w:r>
    </w:p>
    <w:p w14:paraId="3F1F7211" w14:textId="77777777" w:rsidR="00401FAE" w:rsidRDefault="00787C76">
      <w:r>
        <w:rPr>
          <w:color w:val="000000"/>
        </w:rPr>
        <w:t>The possible participation of the JRC in the project will consist of connecting to the regions and cities, which in their smart specialisation / urban development strategies are interested in the priority themes relevant for the mission. This includes how the deployment of ‘lighthouse demonstrators’ could be co-created with these regions and cities so they contribute not only to the mission goals as such, but also to the transition to innovation for a green economy and local jobs under a place-based approach.</w:t>
      </w:r>
    </w:p>
    <w:p w14:paraId="3467CF7E" w14:textId="77777777" w:rsidR="00401FAE" w:rsidRDefault="00787C76">
      <w:pPr>
        <w:pStyle w:val="HeadingOne"/>
        <w:pageBreakBefore/>
      </w:pPr>
      <w:bookmarkStart w:id="13" w:name="_Toc69807947"/>
      <w:r>
        <w:t>Mission: Climate neutral and smart cities</w:t>
      </w:r>
      <w:bookmarkEnd w:id="13"/>
    </w:p>
    <w:p w14:paraId="0D8FDC09" w14:textId="77777777" w:rsidR="00401FAE" w:rsidRDefault="00787C76">
      <w:r>
        <w:rPr>
          <w:color w:val="000000"/>
        </w:rPr>
        <w:t>The main intended objectives of the mission are to: support, promote and showcase 100 European cities in their systemic transformation towards climate neutrality by 2030, to turn these cities into innovation hubs for all cities, and to lead on the European Green Deal</w:t>
      </w:r>
      <w:r>
        <w:rPr>
          <w:vertAlign w:val="superscript"/>
        </w:rPr>
        <w:footnoteReference w:id="43"/>
      </w:r>
      <w:r>
        <w:rPr>
          <w:color w:val="000000"/>
        </w:rPr>
        <w:t xml:space="preserve"> to make Europe the first climate-neutral continent by 2050, while keeping citizens needs at the core. It introduces an innovative approach through a new model of governance focused on one systemic, place-based long-term climate strategy through a ‘City Climate Contract’ which will include local, national, and European authorities and offer a radically new role for citizens to co-create and co-implement, becoming agents of change.</w:t>
      </w:r>
    </w:p>
    <w:p w14:paraId="62F8EEC7" w14:textId="77777777" w:rsidR="00401FAE" w:rsidRDefault="00787C76">
      <w:r>
        <w:rPr>
          <w:color w:val="000000"/>
        </w:rPr>
        <w:t>Full implementation of the mission is subject to confirmation following the preparatory phase.</w:t>
      </w:r>
    </w:p>
    <w:p w14:paraId="02ED3A43" w14:textId="77777777" w:rsidR="00401FAE" w:rsidRDefault="00787C76">
      <w:r>
        <w:rPr>
          <w:color w:val="000000"/>
        </w:rPr>
        <w:t>Proposals under these topics during this preparatory phase of the mission should set out a credible pathway to contributing to the broad objectives of the mission area on climate neutral and smart cities in line with the European Green Deal Strategy (as well as the 2030 Agenda for Sustainable Development</w:t>
      </w:r>
      <w:r>
        <w:rPr>
          <w:vertAlign w:val="superscript"/>
        </w:rPr>
        <w:footnoteReference w:id="44"/>
      </w:r>
      <w:r>
        <w:rPr>
          <w:color w:val="000000"/>
        </w:rPr>
        <w:t>) and more specifically to the following impacts:</w:t>
      </w:r>
    </w:p>
    <w:p w14:paraId="61E0DA61" w14:textId="77777777" w:rsidR="00401FAE" w:rsidRDefault="00787C76" w:rsidP="00787C76">
      <w:pPr>
        <w:pStyle w:val="Paragraphedeliste"/>
        <w:numPr>
          <w:ilvl w:val="0"/>
          <w:numId w:val="17"/>
        </w:numPr>
      </w:pPr>
      <w:r>
        <w:rPr>
          <w:color w:val="000000"/>
        </w:rPr>
        <w:t xml:space="preserve">Systemic transition towards climate neutrality within cities. </w:t>
      </w:r>
    </w:p>
    <w:p w14:paraId="0A26A45E" w14:textId="77777777" w:rsidR="00401FAE" w:rsidRDefault="00787C76" w:rsidP="00787C76">
      <w:pPr>
        <w:pStyle w:val="Paragraphedeliste"/>
        <w:numPr>
          <w:ilvl w:val="0"/>
          <w:numId w:val="17"/>
        </w:numPr>
      </w:pPr>
      <w:r>
        <w:rPr>
          <w:color w:val="000000"/>
        </w:rPr>
        <w:t xml:space="preserve">Climate-neutrality and modernisation of transport and mobility systems </w:t>
      </w:r>
    </w:p>
    <w:p w14:paraId="077C6E90" w14:textId="77777777" w:rsidR="00401FAE" w:rsidRDefault="00787C76" w:rsidP="00787C76">
      <w:pPr>
        <w:pStyle w:val="Paragraphedeliste"/>
        <w:numPr>
          <w:ilvl w:val="0"/>
          <w:numId w:val="17"/>
        </w:numPr>
      </w:pPr>
      <w:r>
        <w:rPr>
          <w:color w:val="000000"/>
        </w:rPr>
        <w:t xml:space="preserve">Energy and resource-efficient building renovations </w:t>
      </w:r>
    </w:p>
    <w:p w14:paraId="4BAA3792" w14:textId="77777777" w:rsidR="00401FAE" w:rsidRDefault="00787C76" w:rsidP="00787C76">
      <w:pPr>
        <w:pStyle w:val="Paragraphedeliste"/>
        <w:numPr>
          <w:ilvl w:val="0"/>
          <w:numId w:val="17"/>
        </w:numPr>
      </w:pPr>
      <w:r>
        <w:rPr>
          <w:color w:val="000000"/>
        </w:rPr>
        <w:t xml:space="preserve">Renovation of urban spaces combining sustainability, accessibility and aesthetics in a human-centred way  </w:t>
      </w:r>
    </w:p>
    <w:p w14:paraId="5C22AACA"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97"/>
        <w:gridCol w:w="2000"/>
        <w:gridCol w:w="1430"/>
      </w:tblGrid>
      <w:tr w:rsidR="00401FAE" w14:paraId="3F7BCFC7" w14:textId="77777777">
        <w:tc>
          <w:tcPr>
            <w:tcW w:w="0" w:type="auto"/>
            <w:vMerge w:val="restart"/>
          </w:tcPr>
          <w:p w14:paraId="38FEDD8D" w14:textId="77777777" w:rsidR="00401FAE" w:rsidRDefault="00787C76">
            <w:pPr>
              <w:pStyle w:val="CellHeaderTextValue"/>
            </w:pPr>
            <w:r>
              <w:t>Call</w:t>
            </w:r>
          </w:p>
        </w:tc>
        <w:tc>
          <w:tcPr>
            <w:tcW w:w="0" w:type="auto"/>
          </w:tcPr>
          <w:p w14:paraId="24863FB8" w14:textId="77777777" w:rsidR="00401FAE" w:rsidRDefault="00787C76">
            <w:pPr>
              <w:pStyle w:val="CellHeaderTextValue"/>
            </w:pPr>
            <w:r>
              <w:t>Budgets (EUR million)</w:t>
            </w:r>
          </w:p>
        </w:tc>
        <w:tc>
          <w:tcPr>
            <w:tcW w:w="0" w:type="auto"/>
            <w:vMerge w:val="restart"/>
          </w:tcPr>
          <w:p w14:paraId="4D4732FC" w14:textId="77777777" w:rsidR="00401FAE" w:rsidRDefault="00787C76">
            <w:pPr>
              <w:pStyle w:val="CellHeaderTextValue"/>
            </w:pPr>
            <w:r>
              <w:t>Deadline(s)</w:t>
            </w:r>
          </w:p>
        </w:tc>
      </w:tr>
      <w:tr w:rsidR="00401FAE" w14:paraId="0DD924DB" w14:textId="77777777">
        <w:tc>
          <w:tcPr>
            <w:tcW w:w="0" w:type="auto"/>
            <w:vMerge/>
          </w:tcPr>
          <w:p w14:paraId="0BDEE428" w14:textId="77777777" w:rsidR="00401FAE" w:rsidRDefault="00401FAE"/>
        </w:tc>
        <w:tc>
          <w:tcPr>
            <w:tcW w:w="2000" w:type="dxa"/>
          </w:tcPr>
          <w:p w14:paraId="00E3845D" w14:textId="77777777" w:rsidR="00401FAE" w:rsidRDefault="00787C76">
            <w:pPr>
              <w:pStyle w:val="CellHeaderTextValue"/>
            </w:pPr>
            <w:r>
              <w:t>2021</w:t>
            </w:r>
          </w:p>
        </w:tc>
        <w:tc>
          <w:tcPr>
            <w:tcW w:w="0" w:type="auto"/>
            <w:vMerge/>
          </w:tcPr>
          <w:p w14:paraId="33598F3F" w14:textId="77777777" w:rsidR="00401FAE" w:rsidRDefault="00401FAE"/>
        </w:tc>
      </w:tr>
      <w:tr w:rsidR="00401FAE" w14:paraId="7C71C219" w14:textId="77777777">
        <w:tc>
          <w:tcPr>
            <w:tcW w:w="0" w:type="auto"/>
          </w:tcPr>
          <w:p w14:paraId="5E6790AE" w14:textId="77777777" w:rsidR="00401FAE" w:rsidRDefault="00787C76">
            <w:pPr>
              <w:pStyle w:val="CellTextValue"/>
            </w:pPr>
            <w:r>
              <w:t>HORIZON-MISS-2021-CIT-01</w:t>
            </w:r>
          </w:p>
        </w:tc>
        <w:tc>
          <w:tcPr>
            <w:tcW w:w="0" w:type="auto"/>
          </w:tcPr>
          <w:p w14:paraId="46263E5C" w14:textId="77777777" w:rsidR="00401FAE" w:rsidRDefault="00787C76">
            <w:pPr>
              <w:pStyle w:val="CellTextValue"/>
            </w:pPr>
            <w:r>
              <w:t>4.00</w:t>
            </w:r>
          </w:p>
        </w:tc>
        <w:tc>
          <w:tcPr>
            <w:tcW w:w="0" w:type="auto"/>
          </w:tcPr>
          <w:p w14:paraId="44333B2B" w14:textId="77777777" w:rsidR="00401FAE" w:rsidRDefault="00787C76">
            <w:pPr>
              <w:pStyle w:val="CellTextValue"/>
            </w:pPr>
            <w:r>
              <w:t>09 Sep 2021</w:t>
            </w:r>
          </w:p>
        </w:tc>
      </w:tr>
      <w:tr w:rsidR="00401FAE" w14:paraId="3908D2AC" w14:textId="77777777">
        <w:tc>
          <w:tcPr>
            <w:tcW w:w="0" w:type="auto"/>
          </w:tcPr>
          <w:p w14:paraId="33304559" w14:textId="77777777" w:rsidR="00401FAE" w:rsidRDefault="00787C76">
            <w:pPr>
              <w:pStyle w:val="CellTextValue"/>
            </w:pPr>
            <w:r>
              <w:t>Overall indicative budget</w:t>
            </w:r>
          </w:p>
        </w:tc>
        <w:tc>
          <w:tcPr>
            <w:tcW w:w="0" w:type="auto"/>
          </w:tcPr>
          <w:p w14:paraId="5DE1425E" w14:textId="77777777" w:rsidR="00401FAE" w:rsidRDefault="00787C76">
            <w:pPr>
              <w:pStyle w:val="CellTextValue"/>
            </w:pPr>
            <w:r>
              <w:t>4.00</w:t>
            </w:r>
          </w:p>
        </w:tc>
        <w:tc>
          <w:tcPr>
            <w:tcW w:w="0" w:type="auto"/>
          </w:tcPr>
          <w:p w14:paraId="25BC0497" w14:textId="77777777" w:rsidR="00401FAE" w:rsidRDefault="00401FAE"/>
        </w:tc>
      </w:tr>
    </w:tbl>
    <w:p w14:paraId="2286E4B5" w14:textId="77777777" w:rsidR="00401FAE" w:rsidRDefault="00401FAE">
      <w:pPr>
        <w:spacing w:after="0" w:line="150" w:lineRule="auto"/>
      </w:pPr>
    </w:p>
    <w:p w14:paraId="2C00AD86" w14:textId="77777777" w:rsidR="00401FAE" w:rsidRDefault="00401FAE">
      <w:pPr>
        <w:pageBreakBefore/>
      </w:pPr>
    </w:p>
    <w:p w14:paraId="310DC93E" w14:textId="77777777" w:rsidR="00401FAE" w:rsidRPr="00E21EA1" w:rsidRDefault="00787C76">
      <w:pPr>
        <w:pStyle w:val="HeadingTwo"/>
        <w:rPr>
          <w:lang w:val="en-IE"/>
        </w:rPr>
      </w:pPr>
      <w:bookmarkStart w:id="14" w:name="_Toc69807948"/>
      <w:r w:rsidRPr="00E21EA1">
        <w:rPr>
          <w:lang w:val="en-IE"/>
        </w:rPr>
        <w:t>Call - Supporting the transition towards climate neutrality within cities</w:t>
      </w:r>
      <w:bookmarkEnd w:id="14"/>
    </w:p>
    <w:p w14:paraId="78EE2803" w14:textId="77777777" w:rsidR="00401FAE" w:rsidRDefault="00787C76">
      <w:pPr>
        <w:pStyle w:val="CallIdentifier"/>
      </w:pPr>
      <w:r>
        <w:t>HORIZON-MISS-2021-CIT-01</w:t>
      </w:r>
    </w:p>
    <w:p w14:paraId="6381E8C8" w14:textId="77777777" w:rsidR="00401FAE" w:rsidRDefault="00787C76">
      <w:pPr>
        <w:pStyle w:val="HeadingThree"/>
      </w:pPr>
      <w:bookmarkStart w:id="15" w:name="_Toc69807949"/>
      <w:r>
        <w:t>Conditions for the Call</w:t>
      </w:r>
      <w:bookmarkEnd w:id="15"/>
    </w:p>
    <w:p w14:paraId="09CC3DDD" w14:textId="77777777" w:rsidR="00401FAE" w:rsidRDefault="00787C76">
      <w:r>
        <w:rPr>
          <w:u w:val="single"/>
        </w:rPr>
        <w:t>Indicative budget(s)</w:t>
      </w:r>
      <w:r>
        <w:rPr>
          <w:vertAlign w:val="superscript"/>
        </w:rPr>
        <w:footnoteReference w:id="4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17"/>
        <w:gridCol w:w="884"/>
        <w:gridCol w:w="1299"/>
        <w:gridCol w:w="2189"/>
        <w:gridCol w:w="1083"/>
      </w:tblGrid>
      <w:tr w:rsidR="00401FAE" w14:paraId="5FD267D4" w14:textId="77777777">
        <w:tc>
          <w:tcPr>
            <w:tcW w:w="2000" w:type="dxa"/>
            <w:vMerge w:val="restart"/>
          </w:tcPr>
          <w:p w14:paraId="7B6E0EC3" w14:textId="77777777" w:rsidR="00401FAE" w:rsidRDefault="00787C76">
            <w:pPr>
              <w:pStyle w:val="CellHeaderTextValue"/>
            </w:pPr>
            <w:r>
              <w:t>Topics</w:t>
            </w:r>
          </w:p>
        </w:tc>
        <w:tc>
          <w:tcPr>
            <w:tcW w:w="800" w:type="dxa"/>
            <w:vMerge w:val="restart"/>
          </w:tcPr>
          <w:p w14:paraId="483959FB" w14:textId="77777777" w:rsidR="00401FAE" w:rsidRDefault="00787C76">
            <w:pPr>
              <w:pStyle w:val="CellHeaderTextValue"/>
            </w:pPr>
            <w:r>
              <w:t>Type of Action</w:t>
            </w:r>
          </w:p>
        </w:tc>
        <w:tc>
          <w:tcPr>
            <w:tcW w:w="0" w:type="auto"/>
          </w:tcPr>
          <w:p w14:paraId="5B3DD7DC" w14:textId="77777777" w:rsidR="00401FAE" w:rsidRDefault="00787C76">
            <w:pPr>
              <w:pStyle w:val="CellHeaderTextValue"/>
            </w:pPr>
            <w:r>
              <w:t>Budgets (EUR million)</w:t>
            </w:r>
          </w:p>
        </w:tc>
        <w:tc>
          <w:tcPr>
            <w:tcW w:w="0" w:type="auto"/>
            <w:vMerge w:val="restart"/>
          </w:tcPr>
          <w:p w14:paraId="6E8EFF6A" w14:textId="77777777" w:rsidR="00401FAE" w:rsidRPr="00E21EA1" w:rsidRDefault="00787C76">
            <w:pPr>
              <w:pStyle w:val="CellHeaderTextValue"/>
              <w:rPr>
                <w:lang w:val="fr-BE"/>
              </w:rPr>
            </w:pPr>
            <w:r w:rsidRPr="00E21EA1">
              <w:rPr>
                <w:lang w:val="fr-BE"/>
              </w:rPr>
              <w:t>Expected EU contribution per project (EUR million)</w:t>
            </w:r>
            <w:r>
              <w:rPr>
                <w:vertAlign w:val="superscript"/>
              </w:rPr>
              <w:footnoteReference w:id="46"/>
            </w:r>
          </w:p>
        </w:tc>
        <w:tc>
          <w:tcPr>
            <w:tcW w:w="800" w:type="dxa"/>
            <w:vMerge w:val="restart"/>
          </w:tcPr>
          <w:p w14:paraId="7EE9864E" w14:textId="77777777" w:rsidR="00401FAE" w:rsidRDefault="00787C76">
            <w:pPr>
              <w:pStyle w:val="CellHeaderTextValue"/>
            </w:pPr>
            <w:r>
              <w:t>Number of projects expected to be funded</w:t>
            </w:r>
          </w:p>
        </w:tc>
      </w:tr>
      <w:tr w:rsidR="00401FAE" w14:paraId="7053B9C7" w14:textId="77777777">
        <w:tc>
          <w:tcPr>
            <w:tcW w:w="0" w:type="auto"/>
            <w:vMerge/>
          </w:tcPr>
          <w:p w14:paraId="25E615D8" w14:textId="77777777" w:rsidR="00401FAE" w:rsidRDefault="00401FAE"/>
        </w:tc>
        <w:tc>
          <w:tcPr>
            <w:tcW w:w="0" w:type="auto"/>
            <w:vMerge/>
          </w:tcPr>
          <w:p w14:paraId="06E0D38B" w14:textId="77777777" w:rsidR="00401FAE" w:rsidRDefault="00401FAE"/>
        </w:tc>
        <w:tc>
          <w:tcPr>
            <w:tcW w:w="0" w:type="auto"/>
          </w:tcPr>
          <w:p w14:paraId="7A202753" w14:textId="77777777" w:rsidR="00401FAE" w:rsidRDefault="00787C76">
            <w:pPr>
              <w:pStyle w:val="CellHeaderTextValue"/>
            </w:pPr>
            <w:r>
              <w:t>2021</w:t>
            </w:r>
          </w:p>
        </w:tc>
        <w:tc>
          <w:tcPr>
            <w:tcW w:w="0" w:type="auto"/>
            <w:vMerge/>
          </w:tcPr>
          <w:p w14:paraId="3E91A552" w14:textId="77777777" w:rsidR="00401FAE" w:rsidRDefault="00401FAE"/>
        </w:tc>
        <w:tc>
          <w:tcPr>
            <w:tcW w:w="0" w:type="auto"/>
            <w:vMerge/>
          </w:tcPr>
          <w:p w14:paraId="74801287" w14:textId="77777777" w:rsidR="00401FAE" w:rsidRDefault="00401FAE"/>
        </w:tc>
      </w:tr>
      <w:tr w:rsidR="00787C76" w14:paraId="64CA1275" w14:textId="77777777" w:rsidTr="00787C76">
        <w:tc>
          <w:tcPr>
            <w:tcW w:w="0" w:type="auto"/>
            <w:gridSpan w:val="5"/>
          </w:tcPr>
          <w:p w14:paraId="570B077F" w14:textId="77777777" w:rsidR="00401FAE" w:rsidRDefault="00787C76">
            <w:pPr>
              <w:pStyle w:val="CellTextValue"/>
              <w:jc w:val="center"/>
            </w:pPr>
            <w:r>
              <w:t>Opening: 18 May 2021</w:t>
            </w:r>
          </w:p>
          <w:p w14:paraId="5D2B64E2" w14:textId="77777777" w:rsidR="00401FAE" w:rsidRDefault="00787C76">
            <w:pPr>
              <w:pStyle w:val="CellTextValue"/>
              <w:jc w:val="center"/>
            </w:pPr>
            <w:r>
              <w:t>Deadline(s): 09 Sep 2021</w:t>
            </w:r>
          </w:p>
        </w:tc>
      </w:tr>
      <w:tr w:rsidR="00401FAE" w14:paraId="41845038" w14:textId="77777777">
        <w:tc>
          <w:tcPr>
            <w:tcW w:w="0" w:type="auto"/>
          </w:tcPr>
          <w:p w14:paraId="373302F9" w14:textId="77777777" w:rsidR="00401FAE" w:rsidRDefault="00787C76">
            <w:pPr>
              <w:pStyle w:val="CellTextValue"/>
            </w:pPr>
            <w:r>
              <w:t>HORIZON-MISS-2021-CIT-01-01</w:t>
            </w:r>
          </w:p>
        </w:tc>
        <w:tc>
          <w:tcPr>
            <w:tcW w:w="0" w:type="auto"/>
          </w:tcPr>
          <w:p w14:paraId="3B05D696" w14:textId="77777777" w:rsidR="00401FAE" w:rsidRDefault="00787C76">
            <w:pPr>
              <w:pStyle w:val="CellTextValue"/>
            </w:pPr>
            <w:r>
              <w:t>CSA</w:t>
            </w:r>
          </w:p>
        </w:tc>
        <w:tc>
          <w:tcPr>
            <w:tcW w:w="0" w:type="auto"/>
            <w:vMerge w:val="restart"/>
          </w:tcPr>
          <w:p w14:paraId="6A0600F2" w14:textId="77777777" w:rsidR="00401FAE" w:rsidRDefault="00787C76">
            <w:pPr>
              <w:pStyle w:val="CellTextValue"/>
            </w:pPr>
            <w:r>
              <w:t xml:space="preserve">2.00 </w:t>
            </w:r>
            <w:r>
              <w:rPr>
                <w:vertAlign w:val="superscript"/>
              </w:rPr>
              <w:footnoteReference w:id="47"/>
            </w:r>
          </w:p>
        </w:tc>
        <w:tc>
          <w:tcPr>
            <w:tcW w:w="0" w:type="auto"/>
          </w:tcPr>
          <w:p w14:paraId="035F368F" w14:textId="77777777" w:rsidR="00401FAE" w:rsidRDefault="00787C76">
            <w:pPr>
              <w:pStyle w:val="CellTextValue"/>
            </w:pPr>
            <w:r>
              <w:t>Around 2.00</w:t>
            </w:r>
          </w:p>
        </w:tc>
        <w:tc>
          <w:tcPr>
            <w:tcW w:w="0" w:type="auto"/>
          </w:tcPr>
          <w:p w14:paraId="76BCBBFA" w14:textId="77777777" w:rsidR="00401FAE" w:rsidRDefault="00787C76">
            <w:pPr>
              <w:pStyle w:val="CellTextValue"/>
            </w:pPr>
            <w:r>
              <w:t>1</w:t>
            </w:r>
          </w:p>
        </w:tc>
      </w:tr>
      <w:tr w:rsidR="00401FAE" w14:paraId="052D71E3" w14:textId="77777777">
        <w:tc>
          <w:tcPr>
            <w:tcW w:w="0" w:type="auto"/>
          </w:tcPr>
          <w:p w14:paraId="0C064B7D" w14:textId="77777777" w:rsidR="00401FAE" w:rsidRDefault="00787C76">
            <w:pPr>
              <w:pStyle w:val="CellTextValue"/>
            </w:pPr>
            <w:r>
              <w:t>HORIZON-MISS-2021-CIT-01-02</w:t>
            </w:r>
          </w:p>
        </w:tc>
        <w:tc>
          <w:tcPr>
            <w:tcW w:w="0" w:type="auto"/>
          </w:tcPr>
          <w:p w14:paraId="688AB766" w14:textId="77777777" w:rsidR="00401FAE" w:rsidRDefault="00787C76">
            <w:pPr>
              <w:pStyle w:val="CellTextValue"/>
            </w:pPr>
            <w:r>
              <w:t>CSA</w:t>
            </w:r>
          </w:p>
        </w:tc>
        <w:tc>
          <w:tcPr>
            <w:tcW w:w="0" w:type="auto"/>
            <w:vMerge w:val="restart"/>
          </w:tcPr>
          <w:p w14:paraId="2CAABEB7" w14:textId="77777777" w:rsidR="00401FAE" w:rsidRDefault="00787C76">
            <w:pPr>
              <w:pStyle w:val="CellTextValue"/>
            </w:pPr>
            <w:r>
              <w:t xml:space="preserve">2.00 </w:t>
            </w:r>
            <w:r>
              <w:rPr>
                <w:vertAlign w:val="superscript"/>
              </w:rPr>
              <w:footnoteReference w:id="48"/>
            </w:r>
          </w:p>
        </w:tc>
        <w:tc>
          <w:tcPr>
            <w:tcW w:w="0" w:type="auto"/>
          </w:tcPr>
          <w:p w14:paraId="2D633338" w14:textId="77777777" w:rsidR="00401FAE" w:rsidRDefault="00787C76">
            <w:pPr>
              <w:pStyle w:val="CellTextValue"/>
            </w:pPr>
            <w:r>
              <w:t>Around 2.00</w:t>
            </w:r>
          </w:p>
        </w:tc>
        <w:tc>
          <w:tcPr>
            <w:tcW w:w="0" w:type="auto"/>
          </w:tcPr>
          <w:p w14:paraId="51B0C2C9" w14:textId="77777777" w:rsidR="00401FAE" w:rsidRDefault="00787C76">
            <w:pPr>
              <w:pStyle w:val="CellTextValue"/>
            </w:pPr>
            <w:r>
              <w:t>1</w:t>
            </w:r>
          </w:p>
        </w:tc>
      </w:tr>
      <w:tr w:rsidR="00401FAE" w14:paraId="56D43DB9" w14:textId="77777777">
        <w:tc>
          <w:tcPr>
            <w:tcW w:w="0" w:type="auto"/>
          </w:tcPr>
          <w:p w14:paraId="3B76D547" w14:textId="77777777" w:rsidR="00401FAE" w:rsidRDefault="00787C76">
            <w:pPr>
              <w:pStyle w:val="CellTextValue"/>
            </w:pPr>
            <w:r>
              <w:t>Overall indicative budget</w:t>
            </w:r>
          </w:p>
        </w:tc>
        <w:tc>
          <w:tcPr>
            <w:tcW w:w="0" w:type="auto"/>
          </w:tcPr>
          <w:p w14:paraId="58E0C707" w14:textId="77777777" w:rsidR="00401FAE" w:rsidRDefault="00401FAE"/>
        </w:tc>
        <w:tc>
          <w:tcPr>
            <w:tcW w:w="0" w:type="auto"/>
          </w:tcPr>
          <w:p w14:paraId="42404743" w14:textId="77777777" w:rsidR="00401FAE" w:rsidRDefault="00787C76">
            <w:pPr>
              <w:pStyle w:val="CellTextValue"/>
            </w:pPr>
            <w:r>
              <w:t>4.00</w:t>
            </w:r>
          </w:p>
        </w:tc>
        <w:tc>
          <w:tcPr>
            <w:tcW w:w="0" w:type="auto"/>
          </w:tcPr>
          <w:p w14:paraId="36FAA883" w14:textId="77777777" w:rsidR="00401FAE" w:rsidRDefault="00401FAE"/>
        </w:tc>
        <w:tc>
          <w:tcPr>
            <w:tcW w:w="0" w:type="auto"/>
          </w:tcPr>
          <w:p w14:paraId="491F74E4" w14:textId="77777777" w:rsidR="00401FAE" w:rsidRDefault="00401FAE"/>
        </w:tc>
      </w:tr>
    </w:tbl>
    <w:p w14:paraId="2750B574"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6FCCA7EA" w14:textId="77777777" w:rsidTr="00787C76">
        <w:tc>
          <w:tcPr>
            <w:tcW w:w="0" w:type="auto"/>
            <w:gridSpan w:val="2"/>
          </w:tcPr>
          <w:p w14:paraId="5E4DF569" w14:textId="77777777" w:rsidR="00401FAE" w:rsidRDefault="00787C76">
            <w:pPr>
              <w:pStyle w:val="CellTextValue"/>
            </w:pPr>
            <w:r>
              <w:rPr>
                <w:b/>
              </w:rPr>
              <w:t>General conditions relating to this call</w:t>
            </w:r>
          </w:p>
        </w:tc>
      </w:tr>
      <w:tr w:rsidR="00401FAE" w14:paraId="0633DC5A" w14:textId="77777777">
        <w:tc>
          <w:tcPr>
            <w:tcW w:w="0" w:type="auto"/>
          </w:tcPr>
          <w:p w14:paraId="1952B5FE" w14:textId="77777777" w:rsidR="00401FAE" w:rsidRDefault="00787C76">
            <w:pPr>
              <w:pStyle w:val="CellTextValue"/>
              <w:jc w:val="left"/>
            </w:pPr>
            <w:r>
              <w:rPr>
                <w:i/>
              </w:rPr>
              <w:t>Admissibility conditions</w:t>
            </w:r>
          </w:p>
        </w:tc>
        <w:tc>
          <w:tcPr>
            <w:tcW w:w="0" w:type="auto"/>
          </w:tcPr>
          <w:p w14:paraId="151CA007" w14:textId="77777777" w:rsidR="00401FAE" w:rsidRDefault="00787C76">
            <w:pPr>
              <w:pStyle w:val="CellTextValue"/>
            </w:pPr>
            <w:r>
              <w:rPr>
                <w:color w:val="000000"/>
              </w:rPr>
              <w:t>The conditions are described in General Annex A.</w:t>
            </w:r>
          </w:p>
        </w:tc>
      </w:tr>
      <w:tr w:rsidR="00401FAE" w14:paraId="3AB829C3" w14:textId="77777777">
        <w:tc>
          <w:tcPr>
            <w:tcW w:w="0" w:type="auto"/>
          </w:tcPr>
          <w:p w14:paraId="0E9917D4" w14:textId="77777777" w:rsidR="00401FAE" w:rsidRDefault="00787C76">
            <w:pPr>
              <w:pStyle w:val="CellTextValue"/>
              <w:jc w:val="left"/>
            </w:pPr>
            <w:r>
              <w:rPr>
                <w:i/>
              </w:rPr>
              <w:t>Eligibility conditions</w:t>
            </w:r>
          </w:p>
        </w:tc>
        <w:tc>
          <w:tcPr>
            <w:tcW w:w="0" w:type="auto"/>
          </w:tcPr>
          <w:p w14:paraId="2233DD29" w14:textId="77777777" w:rsidR="00401FAE" w:rsidRDefault="00787C76">
            <w:pPr>
              <w:pStyle w:val="CellTextValue"/>
            </w:pPr>
            <w:r>
              <w:rPr>
                <w:color w:val="000000"/>
              </w:rPr>
              <w:t>The conditions are described in General Annex B.</w:t>
            </w:r>
          </w:p>
        </w:tc>
      </w:tr>
      <w:tr w:rsidR="00401FAE" w14:paraId="3C88312A" w14:textId="77777777">
        <w:tc>
          <w:tcPr>
            <w:tcW w:w="0" w:type="auto"/>
          </w:tcPr>
          <w:p w14:paraId="4626FCB3" w14:textId="77777777" w:rsidR="00401FAE" w:rsidRDefault="00787C76">
            <w:pPr>
              <w:pStyle w:val="CellTextValue"/>
              <w:jc w:val="left"/>
            </w:pPr>
            <w:r>
              <w:rPr>
                <w:i/>
              </w:rPr>
              <w:t>Financial and operational capacity and exclusion</w:t>
            </w:r>
          </w:p>
        </w:tc>
        <w:tc>
          <w:tcPr>
            <w:tcW w:w="0" w:type="auto"/>
          </w:tcPr>
          <w:p w14:paraId="60B93737" w14:textId="77777777" w:rsidR="00401FAE" w:rsidRDefault="00787C76">
            <w:pPr>
              <w:pStyle w:val="CellTextValue"/>
            </w:pPr>
            <w:r>
              <w:rPr>
                <w:color w:val="000000"/>
              </w:rPr>
              <w:t>The criteria are described in General Annex C.</w:t>
            </w:r>
          </w:p>
        </w:tc>
      </w:tr>
      <w:tr w:rsidR="00401FAE" w14:paraId="665A8BD2" w14:textId="77777777">
        <w:tc>
          <w:tcPr>
            <w:tcW w:w="0" w:type="auto"/>
          </w:tcPr>
          <w:p w14:paraId="4FD2FF95" w14:textId="77777777" w:rsidR="00401FAE" w:rsidRDefault="00787C76">
            <w:pPr>
              <w:pStyle w:val="CellTextValue"/>
              <w:jc w:val="left"/>
            </w:pPr>
            <w:r>
              <w:rPr>
                <w:i/>
              </w:rPr>
              <w:t>Award criteria</w:t>
            </w:r>
          </w:p>
        </w:tc>
        <w:tc>
          <w:tcPr>
            <w:tcW w:w="0" w:type="auto"/>
          </w:tcPr>
          <w:p w14:paraId="6CA3E379" w14:textId="77777777" w:rsidR="00401FAE" w:rsidRDefault="00787C76">
            <w:pPr>
              <w:pStyle w:val="CellTextValue"/>
            </w:pPr>
            <w:r>
              <w:rPr>
                <w:color w:val="000000"/>
              </w:rPr>
              <w:t>The criteria are described in General Annex D.</w:t>
            </w:r>
          </w:p>
        </w:tc>
      </w:tr>
      <w:tr w:rsidR="00401FAE" w14:paraId="699BE732" w14:textId="77777777">
        <w:tc>
          <w:tcPr>
            <w:tcW w:w="0" w:type="auto"/>
          </w:tcPr>
          <w:p w14:paraId="3AB2E2A9" w14:textId="77777777" w:rsidR="00401FAE" w:rsidRDefault="00787C76">
            <w:pPr>
              <w:pStyle w:val="CellTextValue"/>
              <w:jc w:val="left"/>
            </w:pPr>
            <w:r>
              <w:rPr>
                <w:i/>
              </w:rPr>
              <w:t>Documents</w:t>
            </w:r>
          </w:p>
        </w:tc>
        <w:tc>
          <w:tcPr>
            <w:tcW w:w="0" w:type="auto"/>
          </w:tcPr>
          <w:p w14:paraId="7BAE5265" w14:textId="77777777" w:rsidR="00401FAE" w:rsidRDefault="00787C76">
            <w:pPr>
              <w:pStyle w:val="CellTextValue"/>
            </w:pPr>
            <w:r>
              <w:rPr>
                <w:color w:val="000000"/>
              </w:rPr>
              <w:t>The documents are described in General Annex E.</w:t>
            </w:r>
          </w:p>
        </w:tc>
      </w:tr>
      <w:tr w:rsidR="00401FAE" w14:paraId="27A95E8E" w14:textId="77777777">
        <w:tc>
          <w:tcPr>
            <w:tcW w:w="0" w:type="auto"/>
          </w:tcPr>
          <w:p w14:paraId="1D0168C5" w14:textId="77777777" w:rsidR="00401FAE" w:rsidRDefault="00787C76">
            <w:pPr>
              <w:pStyle w:val="CellTextValue"/>
              <w:jc w:val="left"/>
            </w:pPr>
            <w:r>
              <w:rPr>
                <w:i/>
              </w:rPr>
              <w:t>Procedure</w:t>
            </w:r>
          </w:p>
        </w:tc>
        <w:tc>
          <w:tcPr>
            <w:tcW w:w="0" w:type="auto"/>
          </w:tcPr>
          <w:p w14:paraId="5A1D0DDB" w14:textId="77777777" w:rsidR="00401FAE" w:rsidRDefault="00787C76">
            <w:pPr>
              <w:pStyle w:val="CellTextValue"/>
            </w:pPr>
            <w:r>
              <w:rPr>
                <w:color w:val="000000"/>
              </w:rPr>
              <w:t>The procedure is described in General Annex F.</w:t>
            </w:r>
          </w:p>
        </w:tc>
      </w:tr>
      <w:tr w:rsidR="00401FAE" w14:paraId="79BD71C6" w14:textId="77777777">
        <w:tc>
          <w:tcPr>
            <w:tcW w:w="0" w:type="auto"/>
          </w:tcPr>
          <w:p w14:paraId="279D38D1" w14:textId="77777777" w:rsidR="00401FAE" w:rsidRDefault="00787C76">
            <w:pPr>
              <w:pStyle w:val="CellTextValue"/>
              <w:jc w:val="left"/>
            </w:pPr>
            <w:r>
              <w:rPr>
                <w:i/>
              </w:rPr>
              <w:t>Legal and financial set-up of the Grant Agreements</w:t>
            </w:r>
          </w:p>
        </w:tc>
        <w:tc>
          <w:tcPr>
            <w:tcW w:w="0" w:type="auto"/>
          </w:tcPr>
          <w:p w14:paraId="55996B7D" w14:textId="77777777" w:rsidR="00401FAE" w:rsidRDefault="00787C76">
            <w:pPr>
              <w:pStyle w:val="CellTextValue"/>
            </w:pPr>
            <w:r>
              <w:rPr>
                <w:color w:val="000000"/>
              </w:rPr>
              <w:t>The rules are described in General Annex G.</w:t>
            </w:r>
          </w:p>
        </w:tc>
      </w:tr>
    </w:tbl>
    <w:p w14:paraId="73C2B130" w14:textId="77777777" w:rsidR="00401FAE" w:rsidRDefault="00401FAE">
      <w:pPr>
        <w:spacing w:after="0" w:line="150" w:lineRule="auto"/>
      </w:pPr>
    </w:p>
    <w:p w14:paraId="0F146CCF" w14:textId="77777777" w:rsidR="00401FAE" w:rsidRDefault="00787C76">
      <w:r>
        <w:t>Proposals are invited against the following topic(s):</w:t>
      </w:r>
    </w:p>
    <w:p w14:paraId="1D9F0A1B" w14:textId="77777777" w:rsidR="00401FAE" w:rsidRDefault="00787C76">
      <w:pPr>
        <w:pStyle w:val="HeadingThree"/>
      </w:pPr>
      <w:bookmarkStart w:id="16" w:name="_Toc69807950"/>
      <w:r>
        <w:t>HORIZON-MISS-2021-CIT-01-01: Supporting national, regional and local authorities across Europe to prepare for the transition towards climate neutrality within cities</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787C76" w14:paraId="1303AE70" w14:textId="77777777" w:rsidTr="00787C76">
        <w:tc>
          <w:tcPr>
            <w:tcW w:w="0" w:type="auto"/>
            <w:gridSpan w:val="2"/>
          </w:tcPr>
          <w:p w14:paraId="79537D87" w14:textId="77777777" w:rsidR="00401FAE" w:rsidRDefault="00787C76">
            <w:pPr>
              <w:pStyle w:val="CellTextValue"/>
            </w:pPr>
            <w:r>
              <w:rPr>
                <w:b/>
              </w:rPr>
              <w:t>Specific conditions</w:t>
            </w:r>
          </w:p>
        </w:tc>
      </w:tr>
      <w:tr w:rsidR="00401FAE" w14:paraId="104EAE4D" w14:textId="77777777">
        <w:tc>
          <w:tcPr>
            <w:tcW w:w="0" w:type="auto"/>
          </w:tcPr>
          <w:p w14:paraId="0F47C50C" w14:textId="77777777" w:rsidR="00401FAE" w:rsidRDefault="00787C76">
            <w:pPr>
              <w:pStyle w:val="CellTextValue"/>
              <w:jc w:val="left"/>
            </w:pPr>
            <w:r>
              <w:rPr>
                <w:i/>
              </w:rPr>
              <w:t>Expected EU contribution per project</w:t>
            </w:r>
          </w:p>
        </w:tc>
        <w:tc>
          <w:tcPr>
            <w:tcW w:w="0" w:type="auto"/>
          </w:tcPr>
          <w:p w14:paraId="4F5F2657" w14:textId="77777777" w:rsidR="00401FAE" w:rsidRDefault="00787C76">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1FAE" w14:paraId="30C89A50" w14:textId="77777777">
        <w:tc>
          <w:tcPr>
            <w:tcW w:w="0" w:type="auto"/>
          </w:tcPr>
          <w:p w14:paraId="35817985" w14:textId="77777777" w:rsidR="00401FAE" w:rsidRDefault="00787C76">
            <w:pPr>
              <w:pStyle w:val="CellTextValue"/>
              <w:jc w:val="left"/>
            </w:pPr>
            <w:r>
              <w:rPr>
                <w:i/>
              </w:rPr>
              <w:t>Indicative budget</w:t>
            </w:r>
          </w:p>
        </w:tc>
        <w:tc>
          <w:tcPr>
            <w:tcW w:w="0" w:type="auto"/>
          </w:tcPr>
          <w:p w14:paraId="431FA9F9" w14:textId="77777777" w:rsidR="00401FAE" w:rsidRDefault="00787C76">
            <w:pPr>
              <w:pStyle w:val="CellTextValue"/>
            </w:pPr>
            <w:r>
              <w:t>The total indicative budget for the topic is EUR 2.00 million.</w:t>
            </w:r>
          </w:p>
        </w:tc>
      </w:tr>
      <w:tr w:rsidR="00401FAE" w14:paraId="0A8175E5" w14:textId="77777777">
        <w:tc>
          <w:tcPr>
            <w:tcW w:w="0" w:type="auto"/>
          </w:tcPr>
          <w:p w14:paraId="1AD4B546" w14:textId="77777777" w:rsidR="00401FAE" w:rsidRDefault="00787C76">
            <w:pPr>
              <w:pStyle w:val="CellTextValue"/>
              <w:jc w:val="left"/>
            </w:pPr>
            <w:r>
              <w:rPr>
                <w:i/>
              </w:rPr>
              <w:t>Type of Action</w:t>
            </w:r>
          </w:p>
        </w:tc>
        <w:tc>
          <w:tcPr>
            <w:tcW w:w="0" w:type="auto"/>
          </w:tcPr>
          <w:p w14:paraId="6D3AF979" w14:textId="77777777" w:rsidR="00401FAE" w:rsidRDefault="00787C76">
            <w:pPr>
              <w:pStyle w:val="CellTextValue"/>
            </w:pPr>
            <w:r>
              <w:rPr>
                <w:color w:val="000000"/>
              </w:rPr>
              <w:t>Coordination and Support Actions</w:t>
            </w:r>
          </w:p>
        </w:tc>
      </w:tr>
    </w:tbl>
    <w:p w14:paraId="23948B10" w14:textId="77777777" w:rsidR="00401FAE" w:rsidRDefault="00401FAE">
      <w:pPr>
        <w:spacing w:after="0" w:line="150" w:lineRule="auto"/>
      </w:pPr>
    </w:p>
    <w:p w14:paraId="14A7B97C" w14:textId="77777777" w:rsidR="00401FAE" w:rsidRDefault="00787C76">
      <w:r>
        <w:rPr>
          <w:u w:val="single"/>
        </w:rPr>
        <w:t>Expected Outcome</w:t>
      </w:r>
      <w:r>
        <w:t xml:space="preserve">: </w:t>
      </w:r>
      <w:r>
        <w:rPr>
          <w:color w:val="000000"/>
        </w:rPr>
        <w:t xml:space="preserve"> </w:t>
      </w:r>
    </w:p>
    <w:p w14:paraId="01838744" w14:textId="77777777" w:rsidR="00401FAE" w:rsidRDefault="00787C76">
      <w:r>
        <w:rPr>
          <w:color w:val="000000"/>
        </w:rPr>
        <w:t>Project results are expected to contribute to all of the following expected outcomes:</w:t>
      </w:r>
    </w:p>
    <w:p w14:paraId="2DE8FE8A" w14:textId="77777777" w:rsidR="00401FAE" w:rsidRDefault="00787C76" w:rsidP="00787C76">
      <w:pPr>
        <w:pStyle w:val="Paragraphedeliste"/>
        <w:numPr>
          <w:ilvl w:val="0"/>
          <w:numId w:val="18"/>
        </w:numPr>
      </w:pPr>
      <w:r>
        <w:rPr>
          <w:color w:val="000000"/>
        </w:rPr>
        <w:t xml:space="preserve">National, regional and local authorities in EU Member States and countries associated to Horizon Europe are well prepared for the transition towards climate neutrality within cities by national capacity and knowledge building in close co-operation with the Preparatory action ‘Coordination of complementary actions for missions’. </w:t>
      </w:r>
    </w:p>
    <w:p w14:paraId="5E79CEDF" w14:textId="77777777" w:rsidR="00401FAE" w:rsidRDefault="00787C76" w:rsidP="00787C76">
      <w:pPr>
        <w:pStyle w:val="Paragraphedeliste"/>
        <w:numPr>
          <w:ilvl w:val="0"/>
          <w:numId w:val="18"/>
        </w:numPr>
      </w:pPr>
      <w:r>
        <w:rPr>
          <w:color w:val="000000"/>
        </w:rPr>
        <w:t>Accelerated systemic transition to climate-neutrality for European cities by preparing local authorities to meet the overarching objectives of the European Green Deal</w:t>
      </w:r>
      <w:r>
        <w:rPr>
          <w:vertAlign w:val="superscript"/>
        </w:rPr>
        <w:footnoteReference w:id="49"/>
      </w:r>
      <w:r>
        <w:rPr>
          <w:color w:val="000000"/>
        </w:rPr>
        <w:t xml:space="preserve"> and the specific targets established by the Sustainable and Smart Mobility Strategy</w:t>
      </w:r>
      <w:r>
        <w:rPr>
          <w:vertAlign w:val="superscript"/>
        </w:rPr>
        <w:footnoteReference w:id="50"/>
      </w:r>
      <w:r>
        <w:rPr>
          <w:color w:val="000000"/>
        </w:rPr>
        <w:t xml:space="preserve">, the upcoming New EU Strategy on Adaptation to Climate Change </w:t>
      </w:r>
      <w:r>
        <w:rPr>
          <w:vertAlign w:val="superscript"/>
        </w:rPr>
        <w:footnoteReference w:id="51"/>
      </w:r>
      <w:r>
        <w:rPr>
          <w:color w:val="000000"/>
        </w:rPr>
        <w:t>, the Renovation Wave for Europe Strategy</w:t>
      </w:r>
      <w:r>
        <w:rPr>
          <w:vertAlign w:val="superscript"/>
        </w:rPr>
        <w:footnoteReference w:id="52"/>
      </w:r>
      <w:r>
        <w:rPr>
          <w:color w:val="000000"/>
        </w:rPr>
        <w:t>, the European Climate Pact</w:t>
      </w:r>
      <w:r>
        <w:rPr>
          <w:vertAlign w:val="superscript"/>
        </w:rPr>
        <w:footnoteReference w:id="53"/>
      </w:r>
      <w:r>
        <w:rPr>
          <w:color w:val="000000"/>
        </w:rPr>
        <w:t xml:space="preserve"> and the 2030 Climate Target plan</w:t>
      </w:r>
      <w:r>
        <w:rPr>
          <w:vertAlign w:val="superscript"/>
        </w:rPr>
        <w:footnoteReference w:id="54"/>
      </w:r>
      <w:r>
        <w:rPr>
          <w:color w:val="000000"/>
        </w:rPr>
        <w:t xml:space="preserve">. </w:t>
      </w:r>
    </w:p>
    <w:p w14:paraId="02022515" w14:textId="77777777" w:rsidR="00401FAE" w:rsidRDefault="00787C76" w:rsidP="00787C76">
      <w:pPr>
        <w:pStyle w:val="Paragraphedeliste"/>
        <w:numPr>
          <w:ilvl w:val="0"/>
          <w:numId w:val="18"/>
        </w:numPr>
      </w:pPr>
      <w:r>
        <w:rPr>
          <w:color w:val="000000"/>
        </w:rPr>
        <w:t>Enhanced synergies and common action points with the Urban Agenda for the EU</w:t>
      </w:r>
      <w:r>
        <w:rPr>
          <w:vertAlign w:val="superscript"/>
        </w:rPr>
        <w:footnoteReference w:id="55"/>
      </w:r>
      <w:r>
        <w:rPr>
          <w:color w:val="000000"/>
        </w:rPr>
        <w:t xml:space="preserve"> in the areas of better regulation, funding and knowledge through interactions with the Urban Agenda Thematic Partnerships </w:t>
      </w:r>
      <w:r>
        <w:rPr>
          <w:vertAlign w:val="superscript"/>
        </w:rPr>
        <w:footnoteReference w:id="56"/>
      </w:r>
      <w:r>
        <w:rPr>
          <w:color w:val="000000"/>
        </w:rPr>
        <w:t xml:space="preserve"> as well as the European Urban Initiative</w:t>
      </w:r>
      <w:r>
        <w:rPr>
          <w:vertAlign w:val="superscript"/>
        </w:rPr>
        <w:footnoteReference w:id="57"/>
      </w:r>
      <w:r>
        <w:rPr>
          <w:color w:val="000000"/>
        </w:rPr>
        <w:t>.</w:t>
      </w:r>
    </w:p>
    <w:p w14:paraId="27554D2E" w14:textId="77777777" w:rsidR="00401FAE" w:rsidRDefault="00787C76" w:rsidP="00787C76">
      <w:pPr>
        <w:pStyle w:val="Paragraphedeliste"/>
        <w:numPr>
          <w:ilvl w:val="0"/>
          <w:numId w:val="18"/>
        </w:numPr>
      </w:pPr>
      <w:r>
        <w:rPr>
          <w:color w:val="000000"/>
        </w:rPr>
        <w:t>Identification of country-specific challenges and opportunities in terms of regulatory framework, funding and financing, urban morphology and governance structures promoting exchange of best-practices.</w:t>
      </w:r>
    </w:p>
    <w:p w14:paraId="0E7E9A2F" w14:textId="77777777" w:rsidR="00401FAE" w:rsidRDefault="00787C76" w:rsidP="00787C76">
      <w:pPr>
        <w:pStyle w:val="Paragraphedeliste"/>
        <w:numPr>
          <w:ilvl w:val="0"/>
          <w:numId w:val="18"/>
        </w:numPr>
      </w:pPr>
      <w:r>
        <w:rPr>
          <w:color w:val="000000"/>
        </w:rPr>
        <w:t>Enhanced synergies with R&amp;I national/international communities and partnerships (such as the proposed ‘Driving Urban Transitions to a Sustainable Future’ Horizon Europe Partnership), including the City Science Initiative network promoting evidence-based policy making.</w:t>
      </w:r>
    </w:p>
    <w:p w14:paraId="29EDB798" w14:textId="77777777" w:rsidR="00401FAE" w:rsidRDefault="00787C76" w:rsidP="00787C76">
      <w:pPr>
        <w:pStyle w:val="Paragraphedeliste"/>
        <w:numPr>
          <w:ilvl w:val="0"/>
          <w:numId w:val="18"/>
        </w:numPr>
      </w:pPr>
      <w:r>
        <w:rPr>
          <w:color w:val="000000"/>
        </w:rPr>
        <w:t xml:space="preserve">Define user requirements, while disseminate and promote the use of self-assessment toolkits and mappings adapted to national, regional and local challenges and opportunities.  </w:t>
      </w:r>
    </w:p>
    <w:p w14:paraId="1FA916BD" w14:textId="77777777" w:rsidR="00401FAE" w:rsidRDefault="00787C76">
      <w:r>
        <w:rPr>
          <w:u w:val="single"/>
        </w:rPr>
        <w:t>Scope</w:t>
      </w:r>
      <w:r>
        <w:t xml:space="preserve">: </w:t>
      </w:r>
      <w:r>
        <w:rPr>
          <w:color w:val="000000"/>
        </w:rPr>
        <w:t>Cities are at the forefront of the transition towards greater sustainability. An increasing number of European cities are active pursuing the transition towards climate-neutrality, aligning with the objectives set by the European Green Deal Strategy. Furthermore, the Sustainable and Smart Mobility Strategy, calls for having at least 100 climate neutral cities in Europe by 2030. The Communication on the European Climate Pact calls for a large engagement of all relevant actors to build a greener Europe and support the achievement of the Agenda 2030 on Sustainable Development Goals</w:t>
      </w:r>
      <w:r>
        <w:rPr>
          <w:vertAlign w:val="superscript"/>
        </w:rPr>
        <w:footnoteReference w:id="58"/>
      </w:r>
      <w:r>
        <w:rPr>
          <w:color w:val="000000"/>
        </w:rPr>
        <w:t>, bringing together regions, local communities, civil society, industry, social partners and schools.</w:t>
      </w:r>
    </w:p>
    <w:p w14:paraId="34DA264E" w14:textId="77777777" w:rsidR="00401FAE" w:rsidRDefault="00787C76">
      <w:r>
        <w:rPr>
          <w:color w:val="000000"/>
        </w:rPr>
        <w:t xml:space="preserve">While willing to commit to start the path towards climate neutrality, cities are also being confronted with national, regional and local specificities, which create both challenges and opportunities. Member States and Associated countries are characterized by inherent diversities and needs when addressing legislations and regulations, funding and financing needs and opportunities, as well as geographical, climatic and socio-cultural peculiarities. The uniqueness of the European cities requires tailored national support, translating the European objectives into the local ambitions while keeping citizens needs at the core. </w:t>
      </w:r>
    </w:p>
    <w:p w14:paraId="2FFC496A" w14:textId="77777777" w:rsidR="00401FAE" w:rsidRDefault="00787C76">
      <w:r>
        <w:rPr>
          <w:color w:val="000000"/>
        </w:rPr>
        <w:t xml:space="preserve">Specific national networks for these cities will support translating and tailoring the goals of the European Green Deal Strategy and all relevant initiatives launched within this framework to the local specificities in close collaboration with national and local authorities, stakeholders and citizens. </w:t>
      </w:r>
    </w:p>
    <w:p w14:paraId="7C99417E" w14:textId="77777777" w:rsidR="00401FAE" w:rsidRDefault="00787C76">
      <w:r>
        <w:rPr>
          <w:color w:val="000000"/>
        </w:rPr>
        <w:t>The proposal should:</w:t>
      </w:r>
    </w:p>
    <w:p w14:paraId="1E7284BF" w14:textId="77777777" w:rsidR="00401FAE" w:rsidRDefault="00787C76" w:rsidP="00787C76">
      <w:pPr>
        <w:pStyle w:val="Paragraphedeliste"/>
        <w:numPr>
          <w:ilvl w:val="0"/>
          <w:numId w:val="19"/>
        </w:numPr>
      </w:pPr>
      <w:r>
        <w:rPr>
          <w:color w:val="000000"/>
        </w:rPr>
        <w:t>In coordination with the ‘Missions Core Network’</w:t>
      </w:r>
      <w:r>
        <w:rPr>
          <w:vertAlign w:val="superscript"/>
        </w:rPr>
        <w:footnoteReference w:id="59"/>
      </w:r>
      <w:r>
        <w:rPr>
          <w:color w:val="000000"/>
        </w:rPr>
        <w:t>, support the set-up of dedicated national networks for supporting cities in their transition towards climate neutrality in the form of multi-stakeholders national platforms, promoting collaboration, cross-learning and training, exchange and replication of best practices between the European, national, regional and local level.</w:t>
      </w:r>
    </w:p>
    <w:p w14:paraId="2A5B6489" w14:textId="77777777" w:rsidR="00401FAE" w:rsidRDefault="00787C76" w:rsidP="00787C76">
      <w:pPr>
        <w:pStyle w:val="Paragraphedeliste"/>
        <w:numPr>
          <w:ilvl w:val="0"/>
          <w:numId w:val="19"/>
        </w:numPr>
      </w:pPr>
      <w:r>
        <w:rPr>
          <w:color w:val="000000"/>
        </w:rPr>
        <w:t xml:space="preserve">Mobilize and support a large number of urban authorities in engaging in climate-neutrality transitions in line with the overarching objectives of the European Green Deal, the Sustainable and Smart Mobility Strategy, the upcoming New EU Strategy on Adaptation to Climate Change, the Renovation Wave for Europe Strategy, the European Climate Pact and 2030 Climate Target plan; </w:t>
      </w:r>
    </w:p>
    <w:p w14:paraId="0F2CAABF" w14:textId="77777777" w:rsidR="00401FAE" w:rsidRDefault="00787C76" w:rsidP="00787C76">
      <w:pPr>
        <w:pStyle w:val="Paragraphedeliste"/>
        <w:numPr>
          <w:ilvl w:val="0"/>
          <w:numId w:val="19"/>
        </w:numPr>
      </w:pPr>
      <w:r>
        <w:rPr>
          <w:color w:val="000000"/>
        </w:rPr>
        <w:t>Disseminate and promote the use of supporting material for cities developed by the Direct Action grant Scientific and technical services by the Joint Research Centre – Mission on ‘Climate-neutral and smart cities’, included under Other Actions in Annex 12 of the Horizon Europe Work Programme 2021-2022 and other relevant initiatives (e.g. relevant material developed by the one-stop-shop to be established under the Horizon 2020 topic LC-GD-1-2-2020 on ‘Towards Climate-Neutral and Socially Innovative Cities’</w:t>
      </w:r>
      <w:r>
        <w:rPr>
          <w:vertAlign w:val="superscript"/>
        </w:rPr>
        <w:footnoteReference w:id="60"/>
      </w:r>
      <w:r>
        <w:rPr>
          <w:color w:val="000000"/>
        </w:rPr>
        <w:t>).</w:t>
      </w:r>
    </w:p>
    <w:p w14:paraId="3F9F2619" w14:textId="77777777" w:rsidR="00401FAE" w:rsidRDefault="00787C76" w:rsidP="00787C76">
      <w:pPr>
        <w:pStyle w:val="Paragraphedeliste"/>
        <w:numPr>
          <w:ilvl w:val="0"/>
          <w:numId w:val="19"/>
        </w:numPr>
      </w:pPr>
      <w:r>
        <w:rPr>
          <w:color w:val="000000"/>
        </w:rPr>
        <w:t xml:space="preserve">Identify country-specific challenges, best-practices and opportunities concerning at least:         </w:t>
      </w:r>
    </w:p>
    <w:p w14:paraId="57855636" w14:textId="77777777" w:rsidR="00401FAE" w:rsidRDefault="00787C76" w:rsidP="00787C76">
      <w:pPr>
        <w:pStyle w:val="Paragraphedeliste"/>
        <w:numPr>
          <w:ilvl w:val="1"/>
          <w:numId w:val="19"/>
        </w:numPr>
      </w:pPr>
      <w:r>
        <w:rPr>
          <w:color w:val="000000"/>
        </w:rPr>
        <w:t xml:space="preserve">Regulatory Framework: including interaction between national, regional and local legislations/regulations relevant for the transition to climate neutrality at city level.    </w:t>
      </w:r>
    </w:p>
    <w:p w14:paraId="31493A3F" w14:textId="77777777" w:rsidR="00401FAE" w:rsidRDefault="00787C76" w:rsidP="00787C76">
      <w:pPr>
        <w:pStyle w:val="Paragraphedeliste"/>
        <w:numPr>
          <w:ilvl w:val="1"/>
          <w:numId w:val="19"/>
        </w:numPr>
      </w:pPr>
      <w:r>
        <w:rPr>
          <w:color w:val="000000"/>
        </w:rPr>
        <w:t>Funding and financing: through direct/indirect application of National Energy and Climate Plans (NECPs)</w:t>
      </w:r>
      <w:r>
        <w:rPr>
          <w:vertAlign w:val="superscript"/>
        </w:rPr>
        <w:footnoteReference w:id="61"/>
      </w:r>
      <w:r>
        <w:rPr>
          <w:color w:val="000000"/>
        </w:rPr>
        <w:t xml:space="preserve">, Cohesion Policy Funds and Recovery and Resilience Facility provisions.    </w:t>
      </w:r>
    </w:p>
    <w:p w14:paraId="614C5A8D" w14:textId="77777777" w:rsidR="00401FAE" w:rsidRDefault="00787C76" w:rsidP="00787C76">
      <w:pPr>
        <w:pStyle w:val="Paragraphedeliste"/>
        <w:numPr>
          <w:ilvl w:val="1"/>
          <w:numId w:val="19"/>
        </w:numPr>
      </w:pPr>
      <w:r>
        <w:rPr>
          <w:color w:val="000000"/>
        </w:rPr>
        <w:t xml:space="preserve">Urban morphology: through the mapping of geographical, climatic and socio-cultural contexts.    </w:t>
      </w:r>
    </w:p>
    <w:p w14:paraId="493AC0FE" w14:textId="77777777" w:rsidR="00401FAE" w:rsidRDefault="00787C76" w:rsidP="00787C76">
      <w:pPr>
        <w:pStyle w:val="Paragraphedeliste"/>
        <w:numPr>
          <w:ilvl w:val="1"/>
          <w:numId w:val="19"/>
        </w:numPr>
      </w:pPr>
      <w:r>
        <w:rPr>
          <w:color w:val="000000"/>
        </w:rPr>
        <w:t xml:space="preserve">Governance structures: through analyses of citizens’ and stakeholders’ roles in decision-making processes, existing living labs and hubs for innovative participative governance.   </w:t>
      </w:r>
    </w:p>
    <w:p w14:paraId="6E0AAE15" w14:textId="77777777" w:rsidR="00401FAE" w:rsidRDefault="00787C76">
      <w:r>
        <w:rPr>
          <w:color w:val="000000"/>
        </w:rPr>
        <w:t>In order to support cities in evidence-based policy making for climate-neutrality, such investigation could benefit from the experience of the Joint Research Centre</w:t>
      </w:r>
      <w:r>
        <w:rPr>
          <w:color w:val="000000"/>
          <w:u w:val="single"/>
        </w:rPr>
        <w:t xml:space="preserve"> </w:t>
      </w:r>
      <w:r>
        <w:rPr>
          <w:color w:val="000000"/>
        </w:rPr>
        <w:t>and relevant initiatives as the Community of Practice on Cities</w:t>
      </w:r>
      <w:r>
        <w:rPr>
          <w:vertAlign w:val="superscript"/>
        </w:rPr>
        <w:footnoteReference w:id="62"/>
      </w:r>
      <w:r>
        <w:rPr>
          <w:color w:val="000000"/>
        </w:rPr>
        <w:t xml:space="preserve"> and the City Science Officers Initiative network </w:t>
      </w:r>
      <w:r>
        <w:rPr>
          <w:vertAlign w:val="superscript"/>
        </w:rPr>
        <w:footnoteReference w:id="63"/>
      </w:r>
      <w:r>
        <w:rPr>
          <w:color w:val="000000"/>
        </w:rPr>
        <w:t xml:space="preserve">.    The results should aim at supporting local authorities’ capacity building through dedicated activities such as: trainings, webinars and peer-exchange. </w:t>
      </w:r>
    </w:p>
    <w:p w14:paraId="2AC5455B" w14:textId="77777777" w:rsidR="00401FAE" w:rsidRDefault="00787C76">
      <w:r>
        <w:rPr>
          <w:color w:val="000000"/>
        </w:rPr>
        <w:t>Applicants must take into account and assure that national hubs build on planned or ongoing national, regional or local activities aimed at achieving climate-neutrality in cities. The action should substantially raise the capacities and extend capabilities of existing national networks and hubs.</w:t>
      </w:r>
    </w:p>
    <w:p w14:paraId="6D0272EC" w14:textId="77777777" w:rsidR="00401FAE" w:rsidRDefault="00787C76">
      <w:pPr>
        <w:pStyle w:val="HeadingThree"/>
      </w:pPr>
      <w:bookmarkStart w:id="17" w:name="_Toc69807951"/>
      <w:r>
        <w:t>HORIZON-MISS-2021-CIT-01-02: Collaborative local governance models to accelerate the emblematic transformation of urban environment and contribute to the New European Bauhaus initiative and the objectives of the European Green Deal</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787C76" w14:paraId="192DDBF9" w14:textId="77777777" w:rsidTr="00787C76">
        <w:tc>
          <w:tcPr>
            <w:tcW w:w="0" w:type="auto"/>
            <w:gridSpan w:val="2"/>
          </w:tcPr>
          <w:p w14:paraId="11FFB0C9" w14:textId="77777777" w:rsidR="00401FAE" w:rsidRDefault="00787C76">
            <w:pPr>
              <w:pStyle w:val="CellTextValue"/>
            </w:pPr>
            <w:r>
              <w:rPr>
                <w:b/>
              </w:rPr>
              <w:t>Specific conditions</w:t>
            </w:r>
          </w:p>
        </w:tc>
      </w:tr>
      <w:tr w:rsidR="00401FAE" w14:paraId="380CC506" w14:textId="77777777">
        <w:tc>
          <w:tcPr>
            <w:tcW w:w="0" w:type="auto"/>
          </w:tcPr>
          <w:p w14:paraId="0F5CA7D7" w14:textId="77777777" w:rsidR="00401FAE" w:rsidRDefault="00787C76">
            <w:pPr>
              <w:pStyle w:val="CellTextValue"/>
              <w:jc w:val="left"/>
            </w:pPr>
            <w:r>
              <w:rPr>
                <w:i/>
              </w:rPr>
              <w:t>Expected EU contribution per project</w:t>
            </w:r>
          </w:p>
        </w:tc>
        <w:tc>
          <w:tcPr>
            <w:tcW w:w="0" w:type="auto"/>
          </w:tcPr>
          <w:p w14:paraId="709FA869" w14:textId="77777777" w:rsidR="00401FAE" w:rsidRDefault="00787C76">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1FAE" w14:paraId="06DC6B2B" w14:textId="77777777">
        <w:tc>
          <w:tcPr>
            <w:tcW w:w="0" w:type="auto"/>
          </w:tcPr>
          <w:p w14:paraId="5CEF3AD7" w14:textId="77777777" w:rsidR="00401FAE" w:rsidRDefault="00787C76">
            <w:pPr>
              <w:pStyle w:val="CellTextValue"/>
              <w:jc w:val="left"/>
            </w:pPr>
            <w:r>
              <w:rPr>
                <w:i/>
              </w:rPr>
              <w:t>Indicative budget</w:t>
            </w:r>
          </w:p>
        </w:tc>
        <w:tc>
          <w:tcPr>
            <w:tcW w:w="0" w:type="auto"/>
          </w:tcPr>
          <w:p w14:paraId="60B124C4" w14:textId="77777777" w:rsidR="00401FAE" w:rsidRDefault="00787C76">
            <w:pPr>
              <w:pStyle w:val="CellTextValue"/>
            </w:pPr>
            <w:r>
              <w:t>The total indicative budget for the topic is EUR 2.00 million.</w:t>
            </w:r>
          </w:p>
        </w:tc>
      </w:tr>
      <w:tr w:rsidR="00401FAE" w14:paraId="46924654" w14:textId="77777777">
        <w:tc>
          <w:tcPr>
            <w:tcW w:w="0" w:type="auto"/>
          </w:tcPr>
          <w:p w14:paraId="5107FCAE" w14:textId="77777777" w:rsidR="00401FAE" w:rsidRDefault="00787C76">
            <w:pPr>
              <w:pStyle w:val="CellTextValue"/>
              <w:jc w:val="left"/>
            </w:pPr>
            <w:r>
              <w:rPr>
                <w:i/>
              </w:rPr>
              <w:t>Type of Action</w:t>
            </w:r>
          </w:p>
        </w:tc>
        <w:tc>
          <w:tcPr>
            <w:tcW w:w="0" w:type="auto"/>
          </w:tcPr>
          <w:p w14:paraId="3A75718F" w14:textId="77777777" w:rsidR="00401FAE" w:rsidRDefault="00787C76">
            <w:pPr>
              <w:pStyle w:val="CellTextValue"/>
            </w:pPr>
            <w:r>
              <w:rPr>
                <w:color w:val="000000"/>
              </w:rPr>
              <w:t>Coordination and Support Actions</w:t>
            </w:r>
          </w:p>
        </w:tc>
      </w:tr>
    </w:tbl>
    <w:p w14:paraId="74A0D403" w14:textId="77777777" w:rsidR="00401FAE" w:rsidRDefault="00401FAE">
      <w:pPr>
        <w:spacing w:after="0" w:line="150" w:lineRule="auto"/>
      </w:pPr>
    </w:p>
    <w:p w14:paraId="58F26C94" w14:textId="77777777" w:rsidR="00401FAE" w:rsidRDefault="00787C76">
      <w:r>
        <w:rPr>
          <w:u w:val="single"/>
        </w:rPr>
        <w:t>Expected Outcome</w:t>
      </w:r>
      <w:r>
        <w:t xml:space="preserve">: </w:t>
      </w:r>
      <w:r>
        <w:rPr>
          <w:color w:val="000000"/>
        </w:rPr>
        <w:t>The action aims at contributing to the objectives and impacts as set-out in the mission introduction, specifically focusing on the renovation of urban spaces combining sustainability, accessibility and aesthetics in a human-centred way. The action will also provide the ground for reflecting the values and principles promoted by the New European Bauhaus initiative</w:t>
      </w:r>
      <w:r>
        <w:rPr>
          <w:vertAlign w:val="superscript"/>
        </w:rPr>
        <w:footnoteReference w:id="64"/>
      </w:r>
      <w:r>
        <w:rPr>
          <w:color w:val="000000"/>
        </w:rPr>
        <w:t xml:space="preserve"> into climate-neutral urban quality transformations, identifying co-creative governance models where citizens and stakeholders’ needs and expectations are at the centre. The New European Bauhaus was launched in the frame of the Renovation Wave for Europe Strategy</w:t>
      </w:r>
      <w:r>
        <w:rPr>
          <w:vertAlign w:val="superscript"/>
        </w:rPr>
        <w:footnoteReference w:id="65"/>
      </w:r>
      <w:r>
        <w:rPr>
          <w:color w:val="000000"/>
        </w:rPr>
        <w:t xml:space="preserve"> to act as design lab, accelerator and network at the same time to support the effort of making the Green Deal a cultural, human centred and positive, “tangible” experience.</w:t>
      </w:r>
    </w:p>
    <w:p w14:paraId="673C3C69" w14:textId="77777777" w:rsidR="00401FAE" w:rsidRDefault="00787C76">
      <w:r>
        <w:rPr>
          <w:color w:val="000000"/>
        </w:rPr>
        <w:t>Project results are expected to contribute to all of the following expected outcomes:</w:t>
      </w:r>
    </w:p>
    <w:p w14:paraId="0CE66F66" w14:textId="77777777" w:rsidR="00401FAE" w:rsidRDefault="00787C76" w:rsidP="00787C76">
      <w:pPr>
        <w:pStyle w:val="Paragraphedeliste"/>
        <w:numPr>
          <w:ilvl w:val="0"/>
          <w:numId w:val="20"/>
        </w:numPr>
      </w:pPr>
      <w:r>
        <w:rPr>
          <w:color w:val="000000"/>
        </w:rPr>
        <w:t>Accelerate the transition to full climate-neutrality for all European cities aligning with the objective of the European Green Deal, while contributing to the New European Bauhaus initiative;</w:t>
      </w:r>
    </w:p>
    <w:p w14:paraId="7F4C5B11" w14:textId="77777777" w:rsidR="00401FAE" w:rsidRDefault="00787C76" w:rsidP="00787C76">
      <w:pPr>
        <w:pStyle w:val="Paragraphedeliste"/>
        <w:numPr>
          <w:ilvl w:val="0"/>
          <w:numId w:val="20"/>
        </w:numPr>
      </w:pPr>
      <w:r>
        <w:rPr>
          <w:color w:val="000000"/>
        </w:rPr>
        <w:t xml:space="preserve">Contribute to the objectives of the Renovation Wave for Europe Strategy, the upcoming New EU Strategy on Adaptation to Climate Change </w:t>
      </w:r>
      <w:r>
        <w:rPr>
          <w:vertAlign w:val="superscript"/>
        </w:rPr>
        <w:footnoteReference w:id="66"/>
      </w:r>
      <w:r>
        <w:rPr>
          <w:color w:val="000000"/>
        </w:rPr>
        <w:t>, the European Climate Pact</w:t>
      </w:r>
      <w:r>
        <w:rPr>
          <w:vertAlign w:val="superscript"/>
        </w:rPr>
        <w:footnoteReference w:id="67"/>
      </w:r>
      <w:r>
        <w:rPr>
          <w:color w:val="000000"/>
        </w:rPr>
        <w:t>, the 2030 Climate Target plan</w:t>
      </w:r>
      <w:r>
        <w:rPr>
          <w:vertAlign w:val="superscript"/>
        </w:rPr>
        <w:footnoteReference w:id="68"/>
      </w:r>
      <w:r>
        <w:rPr>
          <w:color w:val="000000"/>
        </w:rPr>
        <w:t>, the Davos Declaration ‘Towards a European vision of high-quality Baukultur’</w:t>
      </w:r>
      <w:r>
        <w:rPr>
          <w:vertAlign w:val="superscript"/>
        </w:rPr>
        <w:footnoteReference w:id="69"/>
      </w:r>
      <w:r>
        <w:rPr>
          <w:color w:val="000000"/>
        </w:rPr>
        <w:t xml:space="preserve"> as well as of the objectives of having 100 climate neutral cities by 2030 as targeted by the Sustainable and Smart Mobility Strategy</w:t>
      </w:r>
      <w:r>
        <w:rPr>
          <w:vertAlign w:val="superscript"/>
        </w:rPr>
        <w:footnoteReference w:id="70"/>
      </w:r>
      <w:r>
        <w:rPr>
          <w:color w:val="000000"/>
        </w:rPr>
        <w:t>;</w:t>
      </w:r>
    </w:p>
    <w:p w14:paraId="2F4E922A" w14:textId="77777777" w:rsidR="00401FAE" w:rsidRDefault="00787C76" w:rsidP="00787C76">
      <w:pPr>
        <w:pStyle w:val="Paragraphedeliste"/>
        <w:numPr>
          <w:ilvl w:val="0"/>
          <w:numId w:val="20"/>
        </w:numPr>
      </w:pPr>
      <w:r>
        <w:rPr>
          <w:color w:val="000000"/>
        </w:rPr>
        <w:t xml:space="preserve">Increase awareness among local authorities and citizens on the New European Bauhaus </w:t>
      </w:r>
      <w:r>
        <w:rPr>
          <w:vertAlign w:val="superscript"/>
        </w:rPr>
        <w:footnoteReference w:id="71"/>
      </w:r>
      <w:r>
        <w:rPr>
          <w:color w:val="000000"/>
        </w:rPr>
        <w:t xml:space="preserve"> and the benefits of a climate-neutral urban transition as an opportunity to re-think and co-create qualitative, sustainable, inclusive and aesthetical urban spaces.</w:t>
      </w:r>
    </w:p>
    <w:p w14:paraId="744A19D0" w14:textId="77777777" w:rsidR="00401FAE" w:rsidRDefault="00787C76" w:rsidP="00787C76">
      <w:pPr>
        <w:pStyle w:val="Paragraphedeliste"/>
        <w:numPr>
          <w:ilvl w:val="0"/>
          <w:numId w:val="20"/>
        </w:numPr>
      </w:pPr>
      <w:r>
        <w:rPr>
          <w:color w:val="000000"/>
        </w:rPr>
        <w:t xml:space="preserve">Support for local authorities and citizens’ in identifying emblematic projects to transform the quality, sustainability, inclusivity and aesthetics of public landscapes, building upon existing initiatives at national level. </w:t>
      </w:r>
    </w:p>
    <w:p w14:paraId="59CD487B" w14:textId="77777777" w:rsidR="00401FAE" w:rsidRDefault="00787C76">
      <w:r>
        <w:rPr>
          <w:u w:val="single"/>
        </w:rPr>
        <w:t>Scope</w:t>
      </w:r>
      <w:r>
        <w:t xml:space="preserve">: </w:t>
      </w:r>
      <w:r>
        <w:rPr>
          <w:color w:val="000000"/>
        </w:rPr>
        <w:t>In order to contribute to the European Green Deal objectives of climate-neutrality, sustainability, prosperity and inclusiveness, cities will have to undergo a rapid and radical transformation and come up with creative, sustainable and collaborative solutions. Urban areas are characterized by diversity of resources, services, communities, interests and needs, which converge into public spaces design and management. A well co-designed public space provides the unique opportunity to improve its climate-neutrality (i.e. using bio-based and natural materials, nature based solutions, introducing new green spaces and circular economy concepts all across the construction life-cycle, new forms of work and commuting patterns, renewable energies, energy efficient lighting, smart digital services etc.) while increasing their attractiveness and social inclusiveness. As promoted by the New European Bauhaus initiative, a systemic co-designed approach to ‘quality climate-neutral urban transformation’ can create living space, where the best technical performances meet citizens’ social, emotional, cultural and aesthetic needs and values.</w:t>
      </w:r>
    </w:p>
    <w:p w14:paraId="336283B5" w14:textId="77777777" w:rsidR="00401FAE" w:rsidRDefault="00787C76">
      <w:r>
        <w:rPr>
          <w:color w:val="000000"/>
        </w:rPr>
        <w:t>Proposals should include the following activities:</w:t>
      </w:r>
    </w:p>
    <w:p w14:paraId="6563753E" w14:textId="77777777" w:rsidR="00401FAE" w:rsidRDefault="00787C76" w:rsidP="00787C76">
      <w:pPr>
        <w:pStyle w:val="Paragraphedeliste"/>
        <w:numPr>
          <w:ilvl w:val="0"/>
          <w:numId w:val="21"/>
        </w:numPr>
      </w:pPr>
      <w:r>
        <w:rPr>
          <w:color w:val="000000"/>
        </w:rPr>
        <w:t>Developing innovative and collaborative models of local governance to engage with citizens and local stakeholders in order to identify urban emblematic projects that simultaneously address the three dimensions of sustainability (including circularity), quality of experience (including aesthetics) and inclusion (including accessibility and affordability).</w:t>
      </w:r>
    </w:p>
    <w:p w14:paraId="3395B818" w14:textId="77777777" w:rsidR="00401FAE" w:rsidRDefault="00787C76" w:rsidP="00787C76">
      <w:pPr>
        <w:pStyle w:val="Paragraphedeliste"/>
        <w:numPr>
          <w:ilvl w:val="0"/>
          <w:numId w:val="21"/>
        </w:numPr>
      </w:pPr>
      <w:r>
        <w:rPr>
          <w:color w:val="000000"/>
        </w:rPr>
        <w:t>Supporting cities in engaging with e.g. schools, universities, culture and arts professionals and institutions, citizens and civil society to harvest the needs, trends, challenges and expectations of citizens and communities in terms of quality climate-neutral urban transformation, in line with the New European Bauhaus initiative’s objectives and to start exploring how to match those needs with the existing possibilities.</w:t>
      </w:r>
    </w:p>
    <w:p w14:paraId="11C45221" w14:textId="77777777" w:rsidR="00401FAE" w:rsidRDefault="00787C76" w:rsidP="00787C76">
      <w:pPr>
        <w:pStyle w:val="Paragraphedeliste"/>
        <w:numPr>
          <w:ilvl w:val="0"/>
          <w:numId w:val="21"/>
        </w:numPr>
      </w:pPr>
      <w:r>
        <w:rPr>
          <w:color w:val="000000"/>
        </w:rPr>
        <w:t xml:space="preserve">Promoting the New European Bauhaus principles among national, regional and local authorities, citizens and stakeholders through dedicated local initiatives (i.e. events, contests, citizens’ dialogues, living labs) and the development of a dedicated platform for sharing of experience and good practices on participatory governance and co-design at local level.  </w:t>
      </w:r>
    </w:p>
    <w:p w14:paraId="338F748F" w14:textId="77777777" w:rsidR="00401FAE" w:rsidRDefault="00787C76">
      <w:r>
        <w:rPr>
          <w:color w:val="000000"/>
        </w:rPr>
        <w:t>The project should work in close co-operation with the Horizon Europe Preparatory action ‘Coordination of complementary actions for missions’ (HORIZON-MISS-DEPL-2021-01)  and with the one stop shop platform to be established under the Horizon 2020 topic LC-GD-1-2-2020 on ‘Towards Climate-Neutral and Socially Innovative Cities’</w:t>
      </w:r>
      <w:r>
        <w:rPr>
          <w:vertAlign w:val="superscript"/>
        </w:rPr>
        <w:footnoteReference w:id="72"/>
      </w:r>
      <w:r>
        <w:rPr>
          <w:color w:val="000000"/>
        </w:rPr>
        <w:t xml:space="preserve"> while embedding citizens social, emotional, cultural and aesthetic needs and values.</w:t>
      </w:r>
    </w:p>
    <w:p w14:paraId="2177711C" w14:textId="77777777" w:rsidR="00401FAE" w:rsidRDefault="00787C76">
      <w:r>
        <w:rPr>
          <w:color w:val="000000"/>
        </w:rPr>
        <w:t>The project should as well work in close collaboration with other complementary support actions that will be established in the frame of the New European Bauhaus, such as the technical assistance</w:t>
      </w:r>
      <w:r>
        <w:rPr>
          <w:vertAlign w:val="superscript"/>
        </w:rPr>
        <w:footnoteReference w:id="73"/>
      </w:r>
      <w:r>
        <w:rPr>
          <w:color w:val="000000"/>
        </w:rPr>
        <w:t xml:space="preserve"> to be published indicatively in Q2 2021 under the European Regional Development and Cohesion Funds. </w:t>
      </w:r>
    </w:p>
    <w:p w14:paraId="7E3B0CDE" w14:textId="77777777" w:rsidR="00401FAE" w:rsidRDefault="00787C76">
      <w:pPr>
        <w:pStyle w:val="HeadingOne"/>
        <w:pageBreakBefore/>
      </w:pPr>
      <w:bookmarkStart w:id="18" w:name="_Toc69807952"/>
      <w:r>
        <w:t>Mission: Soil health and food</w:t>
      </w:r>
      <w:bookmarkEnd w:id="18"/>
    </w:p>
    <w:p w14:paraId="3A69AEB7" w14:textId="77777777" w:rsidR="00401FAE" w:rsidRDefault="00787C76">
      <w:r>
        <w:rPr>
          <w:color w:val="000000"/>
        </w:rPr>
        <w:t>There is no life without soils. If soils are healthy and sustainably managed, they provide food, clean water, habitats for biodiversity and other important services while contributing to climate resilience. We take these services for granted, but in fact soils are a scarce and a threatened resource, all over Europe and globally. 60-70% of EU soils are unhealthy, mainly as a result of current management practices. The effects of climate change are putting further pressure on this key resource.</w:t>
      </w:r>
    </w:p>
    <w:p w14:paraId="036064F2" w14:textId="77777777" w:rsidR="00401FAE" w:rsidRDefault="00787C76">
      <w:r>
        <w:rPr>
          <w:color w:val="000000"/>
        </w:rPr>
        <w:t xml:space="preserve">The intended mission’s goal, as specified in the mission report </w:t>
      </w:r>
      <w:r>
        <w:rPr>
          <w:vertAlign w:val="superscript"/>
        </w:rPr>
        <w:footnoteReference w:id="74"/>
      </w:r>
      <w:r>
        <w:rPr>
          <w:color w:val="000000"/>
        </w:rPr>
        <w:t xml:space="preserve"> is to ensure that “by 2030 at least 75% of soils in each EU Member State are healthy, or show a significant improvement towards meeting accepted thresholds of indicators, to support ecosystem services"</w:t>
      </w:r>
      <w:r>
        <w:rPr>
          <w:vertAlign w:val="superscript"/>
        </w:rPr>
        <w:footnoteReference w:id="75"/>
      </w:r>
      <w:r>
        <w:rPr>
          <w:color w:val="000000"/>
        </w:rPr>
        <w:t>.</w:t>
      </w:r>
    </w:p>
    <w:p w14:paraId="240D4FD0" w14:textId="77777777" w:rsidR="00401FAE" w:rsidRDefault="00787C76">
      <w:r>
        <w:rPr>
          <w:color w:val="000000"/>
        </w:rPr>
        <w:t>To reach its goal and objectives, the identified mission foresees actions across territories (rural and urban areas) and sectors. It will therefore have wide-reaching impact on practices in agriculture, forestry, the food sector and other industries (e.g. biobased and waste) as well as on land use planning in rural and urban areas. To be successful, the Mission requires that consumers and society at large know about soils, appreciate their value and actively contribute to soil friendly practices including through consumer choices. It is worth noting that many of the actions to address soil health have a direct impact on the goals of all other identified missions: carbon sequestration in soil supports climate mitigation, targeted nutrient management will lead to improvements in water quality, soils are the foundation of green urban infrastructure and nature based solutions (e.g. urban flood protection) while a reduction in soil pollution reduces the risk of cancer.</w:t>
      </w:r>
    </w:p>
    <w:p w14:paraId="2DBBA55F" w14:textId="77777777" w:rsidR="00401FAE" w:rsidRDefault="00787C76">
      <w:r>
        <w:rPr>
          <w:color w:val="000000"/>
        </w:rPr>
        <w:t>Full implementation of the mission is subject to confirmation following the preparatory phase. Proposals for topics under this mission should set out a credible pathway to contributing to the mission’s goal and objectives, and more specifically to several of the following impacts:</w:t>
      </w:r>
    </w:p>
    <w:p w14:paraId="12C3F9F1" w14:textId="77777777" w:rsidR="00401FAE" w:rsidRDefault="00787C76" w:rsidP="00787C76">
      <w:pPr>
        <w:pStyle w:val="Paragraphedeliste"/>
        <w:numPr>
          <w:ilvl w:val="0"/>
          <w:numId w:val="22"/>
        </w:numPr>
      </w:pPr>
      <w:r>
        <w:rPr>
          <w:color w:val="000000"/>
        </w:rPr>
        <w:t xml:space="preserve">“Soil literacy”, awareness and societal appreciation of the vital functions of soils is increased including awareness on links between healthy soils, nutritious and safe food and a healthy environment. </w:t>
      </w:r>
    </w:p>
    <w:p w14:paraId="03585085" w14:textId="77777777" w:rsidR="00401FAE" w:rsidRDefault="00787C76" w:rsidP="00787C76">
      <w:pPr>
        <w:pStyle w:val="Paragraphedeliste"/>
        <w:numPr>
          <w:ilvl w:val="0"/>
          <w:numId w:val="22"/>
        </w:numPr>
      </w:pPr>
      <w:r>
        <w:rPr>
          <w:color w:val="000000"/>
        </w:rPr>
        <w:t>Land managers</w:t>
      </w:r>
      <w:r>
        <w:rPr>
          <w:vertAlign w:val="superscript"/>
        </w:rPr>
        <w:footnoteReference w:id="76"/>
      </w:r>
      <w:r>
        <w:rPr>
          <w:color w:val="000000"/>
        </w:rPr>
        <w:t>, industries, consumers and society at large work together and take effective action on soil health across sectors and land uses, as informed by best available science, thereby alleviating not only the immediate pressure on soils but also on the surrounding environment including water bodies.</w:t>
      </w:r>
    </w:p>
    <w:p w14:paraId="6E15BA1B" w14:textId="77777777" w:rsidR="00401FAE" w:rsidRDefault="00787C76" w:rsidP="00787C76">
      <w:pPr>
        <w:pStyle w:val="Paragraphedeliste"/>
        <w:numPr>
          <w:ilvl w:val="0"/>
          <w:numId w:val="22"/>
        </w:numPr>
      </w:pPr>
      <w:r>
        <w:rPr>
          <w:color w:val="000000"/>
        </w:rPr>
        <w:t>Soil health is a starting point for systemic transformations across value chains and territories: practices in agriculture, forestry, industries and in urban areas support healthy soils and their ecosystems services.</w:t>
      </w:r>
    </w:p>
    <w:p w14:paraId="52919C10" w14:textId="77777777" w:rsidR="00401FAE" w:rsidRDefault="00787C76" w:rsidP="00787C76">
      <w:pPr>
        <w:pStyle w:val="Paragraphedeliste"/>
        <w:numPr>
          <w:ilvl w:val="0"/>
          <w:numId w:val="22"/>
        </w:numPr>
      </w:pPr>
      <w:r>
        <w:rPr>
          <w:color w:val="000000"/>
        </w:rPr>
        <w:t xml:space="preserve">Robust soil monitoring programmes and common definitions are in place (based on common, harmonised measurements) and allow land managers and public authorities to take effective actions based on up to date information from all Member States and Associated Countries. </w:t>
      </w:r>
    </w:p>
    <w:p w14:paraId="371CEE33" w14:textId="77777777" w:rsidR="00401FAE" w:rsidRDefault="00787C76" w:rsidP="00787C76">
      <w:pPr>
        <w:pStyle w:val="Paragraphedeliste"/>
        <w:numPr>
          <w:ilvl w:val="0"/>
          <w:numId w:val="22"/>
        </w:numPr>
      </w:pPr>
      <w:r>
        <w:rPr>
          <w:color w:val="000000"/>
        </w:rPr>
        <w:t xml:space="preserve">The successful implementation of the mission supports several EU policy and international commitments ranging from land degradation neutrality, food and nutrition security to biodiversity (e.g. SDGs, UNCCD, UN CBD, Green Deal, CAP, revision of Soil Thematic Strategy).  </w:t>
      </w:r>
    </w:p>
    <w:p w14:paraId="6BEAF2F1"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4"/>
        <w:gridCol w:w="2000"/>
        <w:gridCol w:w="1430"/>
      </w:tblGrid>
      <w:tr w:rsidR="00401FAE" w14:paraId="3E8E0F52" w14:textId="77777777">
        <w:tc>
          <w:tcPr>
            <w:tcW w:w="0" w:type="auto"/>
            <w:vMerge w:val="restart"/>
          </w:tcPr>
          <w:p w14:paraId="2F76EE47" w14:textId="77777777" w:rsidR="00401FAE" w:rsidRDefault="00787C76">
            <w:pPr>
              <w:pStyle w:val="CellHeaderTextValue"/>
            </w:pPr>
            <w:r>
              <w:t>Call</w:t>
            </w:r>
          </w:p>
        </w:tc>
        <w:tc>
          <w:tcPr>
            <w:tcW w:w="0" w:type="auto"/>
          </w:tcPr>
          <w:p w14:paraId="009FF4D6" w14:textId="77777777" w:rsidR="00401FAE" w:rsidRDefault="00787C76">
            <w:pPr>
              <w:pStyle w:val="CellHeaderTextValue"/>
            </w:pPr>
            <w:r>
              <w:t>Budgets (EUR million)</w:t>
            </w:r>
          </w:p>
        </w:tc>
        <w:tc>
          <w:tcPr>
            <w:tcW w:w="0" w:type="auto"/>
            <w:vMerge w:val="restart"/>
          </w:tcPr>
          <w:p w14:paraId="13805D75" w14:textId="77777777" w:rsidR="00401FAE" w:rsidRDefault="00787C76">
            <w:pPr>
              <w:pStyle w:val="CellHeaderTextValue"/>
            </w:pPr>
            <w:r>
              <w:t>Deadline(s)</w:t>
            </w:r>
          </w:p>
        </w:tc>
      </w:tr>
      <w:tr w:rsidR="00401FAE" w14:paraId="11001776" w14:textId="77777777">
        <w:tc>
          <w:tcPr>
            <w:tcW w:w="0" w:type="auto"/>
            <w:vMerge/>
          </w:tcPr>
          <w:p w14:paraId="6AEE9C82" w14:textId="77777777" w:rsidR="00401FAE" w:rsidRDefault="00401FAE"/>
        </w:tc>
        <w:tc>
          <w:tcPr>
            <w:tcW w:w="2000" w:type="dxa"/>
          </w:tcPr>
          <w:p w14:paraId="5EF715F8" w14:textId="77777777" w:rsidR="00401FAE" w:rsidRDefault="00787C76">
            <w:pPr>
              <w:pStyle w:val="CellHeaderTextValue"/>
            </w:pPr>
            <w:r>
              <w:t>2021</w:t>
            </w:r>
          </w:p>
        </w:tc>
        <w:tc>
          <w:tcPr>
            <w:tcW w:w="0" w:type="auto"/>
            <w:vMerge/>
          </w:tcPr>
          <w:p w14:paraId="4812B6EA" w14:textId="77777777" w:rsidR="00401FAE" w:rsidRDefault="00401FAE"/>
        </w:tc>
      </w:tr>
      <w:tr w:rsidR="00401FAE" w14:paraId="710EE3CF" w14:textId="77777777">
        <w:tc>
          <w:tcPr>
            <w:tcW w:w="0" w:type="auto"/>
          </w:tcPr>
          <w:p w14:paraId="4B90C549" w14:textId="77777777" w:rsidR="00401FAE" w:rsidRDefault="00787C76">
            <w:pPr>
              <w:pStyle w:val="CellTextValue"/>
            </w:pPr>
            <w:r>
              <w:t>HORIZON-MISS-2021-SOIL-01</w:t>
            </w:r>
          </w:p>
        </w:tc>
        <w:tc>
          <w:tcPr>
            <w:tcW w:w="0" w:type="auto"/>
          </w:tcPr>
          <w:p w14:paraId="0BED5CF0" w14:textId="77777777" w:rsidR="00401FAE" w:rsidRDefault="00787C76">
            <w:pPr>
              <w:pStyle w:val="CellTextValue"/>
            </w:pPr>
            <w:r>
              <w:t>5.00</w:t>
            </w:r>
          </w:p>
        </w:tc>
        <w:tc>
          <w:tcPr>
            <w:tcW w:w="0" w:type="auto"/>
          </w:tcPr>
          <w:p w14:paraId="2C130761" w14:textId="77777777" w:rsidR="00401FAE" w:rsidRDefault="00787C76">
            <w:pPr>
              <w:pStyle w:val="CellTextValue"/>
            </w:pPr>
            <w:r>
              <w:t>09 Sep 2021</w:t>
            </w:r>
          </w:p>
        </w:tc>
      </w:tr>
      <w:tr w:rsidR="00401FAE" w14:paraId="7E01E15C" w14:textId="77777777">
        <w:tc>
          <w:tcPr>
            <w:tcW w:w="0" w:type="auto"/>
          </w:tcPr>
          <w:p w14:paraId="634678A7" w14:textId="77777777" w:rsidR="00401FAE" w:rsidRDefault="00787C76">
            <w:pPr>
              <w:pStyle w:val="CellTextValue"/>
            </w:pPr>
            <w:r>
              <w:t>Overall indicative budget</w:t>
            </w:r>
          </w:p>
        </w:tc>
        <w:tc>
          <w:tcPr>
            <w:tcW w:w="0" w:type="auto"/>
          </w:tcPr>
          <w:p w14:paraId="218F93A2" w14:textId="77777777" w:rsidR="00401FAE" w:rsidRDefault="00787C76">
            <w:pPr>
              <w:pStyle w:val="CellTextValue"/>
            </w:pPr>
            <w:r>
              <w:t>5.00</w:t>
            </w:r>
          </w:p>
        </w:tc>
        <w:tc>
          <w:tcPr>
            <w:tcW w:w="0" w:type="auto"/>
          </w:tcPr>
          <w:p w14:paraId="1C1F7616" w14:textId="77777777" w:rsidR="00401FAE" w:rsidRDefault="00401FAE"/>
        </w:tc>
      </w:tr>
    </w:tbl>
    <w:p w14:paraId="292F8F8B" w14:textId="77777777" w:rsidR="00401FAE" w:rsidRDefault="00401FAE">
      <w:pPr>
        <w:spacing w:after="0" w:line="150" w:lineRule="auto"/>
      </w:pPr>
    </w:p>
    <w:p w14:paraId="20A28A8F" w14:textId="77777777" w:rsidR="00401FAE" w:rsidRDefault="00401FAE">
      <w:pPr>
        <w:pageBreakBefore/>
      </w:pPr>
    </w:p>
    <w:p w14:paraId="16AA593B" w14:textId="77777777" w:rsidR="00401FAE" w:rsidRPr="00E21EA1" w:rsidRDefault="00787C76">
      <w:pPr>
        <w:pStyle w:val="HeadingTwo"/>
        <w:rPr>
          <w:lang w:val="en-IE"/>
        </w:rPr>
      </w:pPr>
      <w:bookmarkStart w:id="19" w:name="_Toc69807953"/>
      <w:r w:rsidRPr="00E21EA1">
        <w:rPr>
          <w:lang w:val="en-IE"/>
        </w:rPr>
        <w:t>Call - Preparing the ground for healthy soils: building capacities for engagement, outreach and knowledge</w:t>
      </w:r>
      <w:bookmarkEnd w:id="19"/>
      <w:r w:rsidRPr="00E21EA1">
        <w:rPr>
          <w:lang w:val="en-IE"/>
        </w:rPr>
        <w:t xml:space="preserve"> </w:t>
      </w:r>
    </w:p>
    <w:p w14:paraId="202DF8A3" w14:textId="77777777" w:rsidR="00401FAE" w:rsidRDefault="00787C76">
      <w:pPr>
        <w:pStyle w:val="CallIdentifier"/>
      </w:pPr>
      <w:r>
        <w:t>HORIZON-MISS-2021-SOIL-01</w:t>
      </w:r>
    </w:p>
    <w:p w14:paraId="1EA854A4" w14:textId="77777777" w:rsidR="00401FAE" w:rsidRDefault="00787C76">
      <w:pPr>
        <w:pStyle w:val="HeadingThree"/>
      </w:pPr>
      <w:bookmarkStart w:id="20" w:name="_Toc69807954"/>
      <w:r>
        <w:t>Conditions for the Call</w:t>
      </w:r>
      <w:bookmarkEnd w:id="20"/>
    </w:p>
    <w:p w14:paraId="3AC3DFBC" w14:textId="77777777" w:rsidR="00401FAE" w:rsidRDefault="00787C76">
      <w:r>
        <w:rPr>
          <w:u w:val="single"/>
        </w:rPr>
        <w:t>Indicative budget(s)</w:t>
      </w:r>
      <w:r>
        <w:rPr>
          <w:vertAlign w:val="superscript"/>
        </w:rPr>
        <w:footnoteReference w:id="7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4"/>
        <w:gridCol w:w="884"/>
        <w:gridCol w:w="1260"/>
        <w:gridCol w:w="2081"/>
        <w:gridCol w:w="1083"/>
      </w:tblGrid>
      <w:tr w:rsidR="00401FAE" w14:paraId="5692673E" w14:textId="77777777">
        <w:tc>
          <w:tcPr>
            <w:tcW w:w="2000" w:type="dxa"/>
            <w:vMerge w:val="restart"/>
          </w:tcPr>
          <w:p w14:paraId="076B0611" w14:textId="77777777" w:rsidR="00401FAE" w:rsidRDefault="00787C76">
            <w:pPr>
              <w:pStyle w:val="CellHeaderTextValue"/>
            </w:pPr>
            <w:r>
              <w:t>Topics</w:t>
            </w:r>
          </w:p>
        </w:tc>
        <w:tc>
          <w:tcPr>
            <w:tcW w:w="800" w:type="dxa"/>
            <w:vMerge w:val="restart"/>
          </w:tcPr>
          <w:p w14:paraId="2FD47AB1" w14:textId="77777777" w:rsidR="00401FAE" w:rsidRDefault="00787C76">
            <w:pPr>
              <w:pStyle w:val="CellHeaderTextValue"/>
            </w:pPr>
            <w:r>
              <w:t>Type of Action</w:t>
            </w:r>
          </w:p>
        </w:tc>
        <w:tc>
          <w:tcPr>
            <w:tcW w:w="0" w:type="auto"/>
          </w:tcPr>
          <w:p w14:paraId="05739AD7" w14:textId="77777777" w:rsidR="00401FAE" w:rsidRDefault="00787C76">
            <w:pPr>
              <w:pStyle w:val="CellHeaderTextValue"/>
            </w:pPr>
            <w:r>
              <w:t>Budgets (EUR million)</w:t>
            </w:r>
          </w:p>
        </w:tc>
        <w:tc>
          <w:tcPr>
            <w:tcW w:w="0" w:type="auto"/>
            <w:vMerge w:val="restart"/>
          </w:tcPr>
          <w:p w14:paraId="3F07E8F8" w14:textId="77777777" w:rsidR="00401FAE" w:rsidRPr="00E21EA1" w:rsidRDefault="00787C76">
            <w:pPr>
              <w:pStyle w:val="CellHeaderTextValue"/>
              <w:rPr>
                <w:lang w:val="fr-BE"/>
              </w:rPr>
            </w:pPr>
            <w:r w:rsidRPr="00E21EA1">
              <w:rPr>
                <w:lang w:val="fr-BE"/>
              </w:rPr>
              <w:t>Expected EU contribution per project (EUR million)</w:t>
            </w:r>
            <w:r>
              <w:rPr>
                <w:vertAlign w:val="superscript"/>
              </w:rPr>
              <w:footnoteReference w:id="78"/>
            </w:r>
          </w:p>
        </w:tc>
        <w:tc>
          <w:tcPr>
            <w:tcW w:w="800" w:type="dxa"/>
            <w:vMerge w:val="restart"/>
          </w:tcPr>
          <w:p w14:paraId="2D815B25" w14:textId="77777777" w:rsidR="00401FAE" w:rsidRDefault="00787C76">
            <w:pPr>
              <w:pStyle w:val="CellHeaderTextValue"/>
            </w:pPr>
            <w:r>
              <w:t>Number of projects expected to be funded</w:t>
            </w:r>
          </w:p>
        </w:tc>
      </w:tr>
      <w:tr w:rsidR="00401FAE" w14:paraId="3FEB2846" w14:textId="77777777">
        <w:tc>
          <w:tcPr>
            <w:tcW w:w="0" w:type="auto"/>
            <w:vMerge/>
          </w:tcPr>
          <w:p w14:paraId="498F9655" w14:textId="77777777" w:rsidR="00401FAE" w:rsidRDefault="00401FAE"/>
        </w:tc>
        <w:tc>
          <w:tcPr>
            <w:tcW w:w="0" w:type="auto"/>
            <w:vMerge/>
          </w:tcPr>
          <w:p w14:paraId="2487086F" w14:textId="77777777" w:rsidR="00401FAE" w:rsidRDefault="00401FAE"/>
        </w:tc>
        <w:tc>
          <w:tcPr>
            <w:tcW w:w="0" w:type="auto"/>
          </w:tcPr>
          <w:p w14:paraId="6B5B3DB9" w14:textId="77777777" w:rsidR="00401FAE" w:rsidRDefault="00787C76">
            <w:pPr>
              <w:pStyle w:val="CellHeaderTextValue"/>
            </w:pPr>
            <w:r>
              <w:t>2021</w:t>
            </w:r>
          </w:p>
        </w:tc>
        <w:tc>
          <w:tcPr>
            <w:tcW w:w="0" w:type="auto"/>
            <w:vMerge/>
          </w:tcPr>
          <w:p w14:paraId="265BD347" w14:textId="77777777" w:rsidR="00401FAE" w:rsidRDefault="00401FAE"/>
        </w:tc>
        <w:tc>
          <w:tcPr>
            <w:tcW w:w="0" w:type="auto"/>
            <w:vMerge/>
          </w:tcPr>
          <w:p w14:paraId="2BC50204" w14:textId="77777777" w:rsidR="00401FAE" w:rsidRDefault="00401FAE"/>
        </w:tc>
      </w:tr>
      <w:tr w:rsidR="00787C76" w14:paraId="4CFFB87B" w14:textId="77777777" w:rsidTr="00787C76">
        <w:tc>
          <w:tcPr>
            <w:tcW w:w="0" w:type="auto"/>
            <w:gridSpan w:val="5"/>
          </w:tcPr>
          <w:p w14:paraId="3B74D095" w14:textId="77777777" w:rsidR="00401FAE" w:rsidRDefault="00787C76">
            <w:pPr>
              <w:pStyle w:val="CellTextValue"/>
              <w:jc w:val="center"/>
            </w:pPr>
            <w:r>
              <w:t>Opening: 18 May 2021</w:t>
            </w:r>
          </w:p>
          <w:p w14:paraId="0B72C517" w14:textId="77777777" w:rsidR="00401FAE" w:rsidRDefault="00787C76">
            <w:pPr>
              <w:pStyle w:val="CellTextValue"/>
              <w:jc w:val="center"/>
            </w:pPr>
            <w:r>
              <w:t>Deadline(s): 09 Sep 2021</w:t>
            </w:r>
          </w:p>
        </w:tc>
      </w:tr>
      <w:tr w:rsidR="00401FAE" w14:paraId="41CA7672" w14:textId="77777777">
        <w:tc>
          <w:tcPr>
            <w:tcW w:w="0" w:type="auto"/>
          </w:tcPr>
          <w:p w14:paraId="09551836" w14:textId="77777777" w:rsidR="00401FAE" w:rsidRDefault="00787C76">
            <w:pPr>
              <w:pStyle w:val="CellTextValue"/>
            </w:pPr>
            <w:r>
              <w:t>HORIZON-MISS-2021-SOIL-01-01</w:t>
            </w:r>
          </w:p>
        </w:tc>
        <w:tc>
          <w:tcPr>
            <w:tcW w:w="0" w:type="auto"/>
          </w:tcPr>
          <w:p w14:paraId="208E74B5" w14:textId="77777777" w:rsidR="00401FAE" w:rsidRDefault="00787C76">
            <w:pPr>
              <w:pStyle w:val="CellTextValue"/>
            </w:pPr>
            <w:r>
              <w:t>CSA</w:t>
            </w:r>
          </w:p>
        </w:tc>
        <w:tc>
          <w:tcPr>
            <w:tcW w:w="0" w:type="auto"/>
            <w:vMerge w:val="restart"/>
          </w:tcPr>
          <w:p w14:paraId="14201A39" w14:textId="77777777" w:rsidR="00401FAE" w:rsidRDefault="00787C76">
            <w:pPr>
              <w:pStyle w:val="CellTextValue"/>
            </w:pPr>
            <w:r>
              <w:t xml:space="preserve">5.00 </w:t>
            </w:r>
            <w:r>
              <w:rPr>
                <w:vertAlign w:val="superscript"/>
              </w:rPr>
              <w:footnoteReference w:id="79"/>
            </w:r>
          </w:p>
        </w:tc>
        <w:tc>
          <w:tcPr>
            <w:tcW w:w="0" w:type="auto"/>
          </w:tcPr>
          <w:p w14:paraId="2E9AC7B6" w14:textId="77777777" w:rsidR="00401FAE" w:rsidRDefault="00787C76">
            <w:pPr>
              <w:pStyle w:val="CellTextValue"/>
            </w:pPr>
            <w:r>
              <w:t>Around 5.00</w:t>
            </w:r>
          </w:p>
        </w:tc>
        <w:tc>
          <w:tcPr>
            <w:tcW w:w="0" w:type="auto"/>
          </w:tcPr>
          <w:p w14:paraId="02EC6424" w14:textId="77777777" w:rsidR="00401FAE" w:rsidRDefault="00787C76">
            <w:pPr>
              <w:pStyle w:val="CellTextValue"/>
            </w:pPr>
            <w:r>
              <w:t>1</w:t>
            </w:r>
          </w:p>
        </w:tc>
      </w:tr>
      <w:tr w:rsidR="00401FAE" w14:paraId="08265CC9" w14:textId="77777777">
        <w:tc>
          <w:tcPr>
            <w:tcW w:w="0" w:type="auto"/>
          </w:tcPr>
          <w:p w14:paraId="0F2EC431" w14:textId="77777777" w:rsidR="00401FAE" w:rsidRDefault="00787C76">
            <w:pPr>
              <w:pStyle w:val="CellTextValue"/>
            </w:pPr>
            <w:r>
              <w:t>Overall indicative budget</w:t>
            </w:r>
          </w:p>
        </w:tc>
        <w:tc>
          <w:tcPr>
            <w:tcW w:w="0" w:type="auto"/>
          </w:tcPr>
          <w:p w14:paraId="10294EF1" w14:textId="77777777" w:rsidR="00401FAE" w:rsidRDefault="00401FAE"/>
        </w:tc>
        <w:tc>
          <w:tcPr>
            <w:tcW w:w="0" w:type="auto"/>
          </w:tcPr>
          <w:p w14:paraId="1BC61D70" w14:textId="77777777" w:rsidR="00401FAE" w:rsidRDefault="00787C76">
            <w:pPr>
              <w:pStyle w:val="CellTextValue"/>
            </w:pPr>
            <w:r>
              <w:t>5.00</w:t>
            </w:r>
          </w:p>
        </w:tc>
        <w:tc>
          <w:tcPr>
            <w:tcW w:w="0" w:type="auto"/>
          </w:tcPr>
          <w:p w14:paraId="1A6419C5" w14:textId="77777777" w:rsidR="00401FAE" w:rsidRDefault="00401FAE"/>
        </w:tc>
        <w:tc>
          <w:tcPr>
            <w:tcW w:w="0" w:type="auto"/>
          </w:tcPr>
          <w:p w14:paraId="0D3D6A5E" w14:textId="77777777" w:rsidR="00401FAE" w:rsidRDefault="00401FAE"/>
        </w:tc>
      </w:tr>
    </w:tbl>
    <w:p w14:paraId="42C24D2E"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32257429" w14:textId="77777777" w:rsidTr="00787C76">
        <w:tc>
          <w:tcPr>
            <w:tcW w:w="0" w:type="auto"/>
            <w:gridSpan w:val="2"/>
          </w:tcPr>
          <w:p w14:paraId="3317C676" w14:textId="77777777" w:rsidR="00401FAE" w:rsidRDefault="00787C76">
            <w:pPr>
              <w:pStyle w:val="CellTextValue"/>
            </w:pPr>
            <w:r>
              <w:rPr>
                <w:b/>
              </w:rPr>
              <w:t>General conditions relating to this call</w:t>
            </w:r>
          </w:p>
        </w:tc>
      </w:tr>
      <w:tr w:rsidR="00401FAE" w14:paraId="78B24E3D" w14:textId="77777777">
        <w:tc>
          <w:tcPr>
            <w:tcW w:w="0" w:type="auto"/>
          </w:tcPr>
          <w:p w14:paraId="61E613D2" w14:textId="77777777" w:rsidR="00401FAE" w:rsidRDefault="00787C76">
            <w:pPr>
              <w:pStyle w:val="CellTextValue"/>
              <w:jc w:val="left"/>
            </w:pPr>
            <w:r>
              <w:rPr>
                <w:i/>
              </w:rPr>
              <w:t>Admissibility conditions</w:t>
            </w:r>
          </w:p>
        </w:tc>
        <w:tc>
          <w:tcPr>
            <w:tcW w:w="0" w:type="auto"/>
          </w:tcPr>
          <w:p w14:paraId="529351B4" w14:textId="77777777" w:rsidR="00401FAE" w:rsidRDefault="00787C76">
            <w:pPr>
              <w:pStyle w:val="CellTextValue"/>
            </w:pPr>
            <w:r>
              <w:rPr>
                <w:color w:val="000000"/>
              </w:rPr>
              <w:t>The conditions are described in General Annex A.</w:t>
            </w:r>
          </w:p>
        </w:tc>
      </w:tr>
      <w:tr w:rsidR="00401FAE" w14:paraId="11390A9E" w14:textId="77777777">
        <w:tc>
          <w:tcPr>
            <w:tcW w:w="0" w:type="auto"/>
          </w:tcPr>
          <w:p w14:paraId="6B7070EB" w14:textId="77777777" w:rsidR="00401FAE" w:rsidRDefault="00787C76">
            <w:pPr>
              <w:pStyle w:val="CellTextValue"/>
              <w:jc w:val="left"/>
            </w:pPr>
            <w:r>
              <w:rPr>
                <w:i/>
              </w:rPr>
              <w:t>Eligibility conditions</w:t>
            </w:r>
          </w:p>
        </w:tc>
        <w:tc>
          <w:tcPr>
            <w:tcW w:w="0" w:type="auto"/>
          </w:tcPr>
          <w:p w14:paraId="53A8E3D3" w14:textId="77777777" w:rsidR="00401FAE" w:rsidRDefault="00787C76">
            <w:pPr>
              <w:pStyle w:val="CellTextValue"/>
            </w:pPr>
            <w:r>
              <w:rPr>
                <w:color w:val="000000"/>
              </w:rPr>
              <w:t>The conditions are described in General Annex B.</w:t>
            </w:r>
          </w:p>
        </w:tc>
      </w:tr>
      <w:tr w:rsidR="00401FAE" w14:paraId="1E27C277" w14:textId="77777777">
        <w:tc>
          <w:tcPr>
            <w:tcW w:w="0" w:type="auto"/>
          </w:tcPr>
          <w:p w14:paraId="545917A1" w14:textId="77777777" w:rsidR="00401FAE" w:rsidRDefault="00787C76">
            <w:pPr>
              <w:pStyle w:val="CellTextValue"/>
              <w:jc w:val="left"/>
            </w:pPr>
            <w:r>
              <w:rPr>
                <w:i/>
              </w:rPr>
              <w:t>Financial and operational capacity and exclusion</w:t>
            </w:r>
          </w:p>
        </w:tc>
        <w:tc>
          <w:tcPr>
            <w:tcW w:w="0" w:type="auto"/>
          </w:tcPr>
          <w:p w14:paraId="78EC5938" w14:textId="77777777" w:rsidR="00401FAE" w:rsidRDefault="00787C76">
            <w:pPr>
              <w:pStyle w:val="CellTextValue"/>
            </w:pPr>
            <w:r>
              <w:rPr>
                <w:color w:val="000000"/>
              </w:rPr>
              <w:t>The criteria are described in General Annex C.</w:t>
            </w:r>
          </w:p>
        </w:tc>
      </w:tr>
      <w:tr w:rsidR="00401FAE" w14:paraId="59535765" w14:textId="77777777">
        <w:tc>
          <w:tcPr>
            <w:tcW w:w="0" w:type="auto"/>
          </w:tcPr>
          <w:p w14:paraId="765C124A" w14:textId="77777777" w:rsidR="00401FAE" w:rsidRDefault="00787C76">
            <w:pPr>
              <w:pStyle w:val="CellTextValue"/>
              <w:jc w:val="left"/>
            </w:pPr>
            <w:r>
              <w:rPr>
                <w:i/>
              </w:rPr>
              <w:t>Award criteria</w:t>
            </w:r>
          </w:p>
        </w:tc>
        <w:tc>
          <w:tcPr>
            <w:tcW w:w="0" w:type="auto"/>
          </w:tcPr>
          <w:p w14:paraId="45369087" w14:textId="77777777" w:rsidR="00401FAE" w:rsidRDefault="00787C76">
            <w:pPr>
              <w:pStyle w:val="CellTextValue"/>
            </w:pPr>
            <w:r>
              <w:rPr>
                <w:color w:val="000000"/>
              </w:rPr>
              <w:t>The criteria are described in General Annex D.</w:t>
            </w:r>
          </w:p>
        </w:tc>
      </w:tr>
      <w:tr w:rsidR="00401FAE" w14:paraId="283C5F98" w14:textId="77777777">
        <w:tc>
          <w:tcPr>
            <w:tcW w:w="0" w:type="auto"/>
          </w:tcPr>
          <w:p w14:paraId="6D4C9B0D" w14:textId="77777777" w:rsidR="00401FAE" w:rsidRDefault="00787C76">
            <w:pPr>
              <w:pStyle w:val="CellTextValue"/>
              <w:jc w:val="left"/>
            </w:pPr>
            <w:r>
              <w:rPr>
                <w:i/>
              </w:rPr>
              <w:t>Documents</w:t>
            </w:r>
          </w:p>
        </w:tc>
        <w:tc>
          <w:tcPr>
            <w:tcW w:w="0" w:type="auto"/>
          </w:tcPr>
          <w:p w14:paraId="2EE52800" w14:textId="77777777" w:rsidR="00401FAE" w:rsidRDefault="00787C76">
            <w:pPr>
              <w:pStyle w:val="CellTextValue"/>
            </w:pPr>
            <w:r>
              <w:rPr>
                <w:color w:val="000000"/>
              </w:rPr>
              <w:t>The documents are described in General Annex E.</w:t>
            </w:r>
          </w:p>
        </w:tc>
      </w:tr>
      <w:tr w:rsidR="00401FAE" w14:paraId="210EB6B8" w14:textId="77777777">
        <w:tc>
          <w:tcPr>
            <w:tcW w:w="0" w:type="auto"/>
          </w:tcPr>
          <w:p w14:paraId="2F2C0AA9" w14:textId="77777777" w:rsidR="00401FAE" w:rsidRDefault="00787C76">
            <w:pPr>
              <w:pStyle w:val="CellTextValue"/>
              <w:jc w:val="left"/>
            </w:pPr>
            <w:r>
              <w:rPr>
                <w:i/>
              </w:rPr>
              <w:t>Procedure</w:t>
            </w:r>
          </w:p>
        </w:tc>
        <w:tc>
          <w:tcPr>
            <w:tcW w:w="0" w:type="auto"/>
          </w:tcPr>
          <w:p w14:paraId="47A1B0F6" w14:textId="77777777" w:rsidR="00401FAE" w:rsidRDefault="00787C76">
            <w:pPr>
              <w:pStyle w:val="CellTextValue"/>
            </w:pPr>
            <w:r>
              <w:rPr>
                <w:color w:val="000000"/>
              </w:rPr>
              <w:t>The procedure is described in General Annex F.</w:t>
            </w:r>
          </w:p>
        </w:tc>
      </w:tr>
      <w:tr w:rsidR="00401FAE" w14:paraId="657BC19B" w14:textId="77777777">
        <w:tc>
          <w:tcPr>
            <w:tcW w:w="0" w:type="auto"/>
          </w:tcPr>
          <w:p w14:paraId="4C847328" w14:textId="77777777" w:rsidR="00401FAE" w:rsidRDefault="00787C76">
            <w:pPr>
              <w:pStyle w:val="CellTextValue"/>
              <w:jc w:val="left"/>
            </w:pPr>
            <w:r>
              <w:rPr>
                <w:i/>
              </w:rPr>
              <w:t>Legal and financial set-up of the Grant Agreements</w:t>
            </w:r>
          </w:p>
        </w:tc>
        <w:tc>
          <w:tcPr>
            <w:tcW w:w="0" w:type="auto"/>
          </w:tcPr>
          <w:p w14:paraId="104295DC" w14:textId="77777777" w:rsidR="00401FAE" w:rsidRDefault="00787C76">
            <w:pPr>
              <w:pStyle w:val="CellTextValue"/>
            </w:pPr>
            <w:r>
              <w:rPr>
                <w:color w:val="000000"/>
              </w:rPr>
              <w:t>The rules are described in General Annex G.</w:t>
            </w:r>
          </w:p>
        </w:tc>
      </w:tr>
    </w:tbl>
    <w:p w14:paraId="57BF4959" w14:textId="77777777" w:rsidR="00401FAE" w:rsidRDefault="00401FAE">
      <w:pPr>
        <w:spacing w:after="0" w:line="150" w:lineRule="auto"/>
      </w:pPr>
    </w:p>
    <w:p w14:paraId="606DC6B4" w14:textId="77777777" w:rsidR="00401FAE" w:rsidRDefault="00787C76">
      <w:r>
        <w:t>Proposals are invited against the following topic(s):</w:t>
      </w:r>
    </w:p>
    <w:p w14:paraId="6E6CCC64" w14:textId="77777777" w:rsidR="00401FAE" w:rsidRDefault="00787C76">
      <w:pPr>
        <w:pStyle w:val="HeadingThree"/>
      </w:pPr>
      <w:bookmarkStart w:id="21" w:name="_Toc69807955"/>
      <w:r>
        <w:t>HORIZON-MISS-2021-SOIL-01-01: Preparing the ground for healthy soils: building capacities for engagement, outreach and knowledge</w:t>
      </w:r>
      <w:bookmarkEnd w:id="2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787C76" w14:paraId="54E174FB" w14:textId="77777777" w:rsidTr="00787C76">
        <w:tc>
          <w:tcPr>
            <w:tcW w:w="0" w:type="auto"/>
            <w:gridSpan w:val="2"/>
          </w:tcPr>
          <w:p w14:paraId="5EEA12D6" w14:textId="77777777" w:rsidR="00401FAE" w:rsidRDefault="00787C76">
            <w:pPr>
              <w:pStyle w:val="CellTextValue"/>
            </w:pPr>
            <w:r>
              <w:rPr>
                <w:b/>
              </w:rPr>
              <w:t>Specific conditions</w:t>
            </w:r>
          </w:p>
        </w:tc>
      </w:tr>
      <w:tr w:rsidR="00401FAE" w14:paraId="6DDD6DE3" w14:textId="77777777">
        <w:tc>
          <w:tcPr>
            <w:tcW w:w="0" w:type="auto"/>
          </w:tcPr>
          <w:p w14:paraId="6851A7D5" w14:textId="77777777" w:rsidR="00401FAE" w:rsidRDefault="00787C76">
            <w:pPr>
              <w:pStyle w:val="CellTextValue"/>
              <w:jc w:val="left"/>
            </w:pPr>
            <w:r>
              <w:rPr>
                <w:i/>
              </w:rPr>
              <w:t>Expected EU contribution per project</w:t>
            </w:r>
          </w:p>
        </w:tc>
        <w:tc>
          <w:tcPr>
            <w:tcW w:w="0" w:type="auto"/>
          </w:tcPr>
          <w:p w14:paraId="1FA090BD" w14:textId="77777777" w:rsidR="00401FAE" w:rsidRDefault="00787C76">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401FAE" w14:paraId="1F26726F" w14:textId="77777777">
        <w:tc>
          <w:tcPr>
            <w:tcW w:w="0" w:type="auto"/>
          </w:tcPr>
          <w:p w14:paraId="62CD8563" w14:textId="77777777" w:rsidR="00401FAE" w:rsidRDefault="00787C76">
            <w:pPr>
              <w:pStyle w:val="CellTextValue"/>
              <w:jc w:val="left"/>
            </w:pPr>
            <w:r>
              <w:rPr>
                <w:i/>
              </w:rPr>
              <w:t>Indicative budget</w:t>
            </w:r>
          </w:p>
        </w:tc>
        <w:tc>
          <w:tcPr>
            <w:tcW w:w="0" w:type="auto"/>
          </w:tcPr>
          <w:p w14:paraId="018324C6" w14:textId="77777777" w:rsidR="00401FAE" w:rsidRDefault="00787C76">
            <w:pPr>
              <w:pStyle w:val="CellTextValue"/>
            </w:pPr>
            <w:r>
              <w:t>The total indicative budget for the topic is EUR 5.00 million.</w:t>
            </w:r>
          </w:p>
        </w:tc>
      </w:tr>
      <w:tr w:rsidR="00401FAE" w14:paraId="51A7E625" w14:textId="77777777">
        <w:tc>
          <w:tcPr>
            <w:tcW w:w="0" w:type="auto"/>
          </w:tcPr>
          <w:p w14:paraId="2100D023" w14:textId="77777777" w:rsidR="00401FAE" w:rsidRDefault="00787C76">
            <w:pPr>
              <w:pStyle w:val="CellTextValue"/>
              <w:jc w:val="left"/>
            </w:pPr>
            <w:r>
              <w:rPr>
                <w:i/>
              </w:rPr>
              <w:t>Type of Action</w:t>
            </w:r>
          </w:p>
        </w:tc>
        <w:tc>
          <w:tcPr>
            <w:tcW w:w="0" w:type="auto"/>
          </w:tcPr>
          <w:p w14:paraId="373D9C74" w14:textId="77777777" w:rsidR="00401FAE" w:rsidRDefault="00787C76">
            <w:pPr>
              <w:pStyle w:val="CellTextValue"/>
            </w:pPr>
            <w:r>
              <w:rPr>
                <w:color w:val="000000"/>
              </w:rPr>
              <w:t>Coordination and Support Actions</w:t>
            </w:r>
          </w:p>
        </w:tc>
      </w:tr>
      <w:tr w:rsidR="00401FAE" w14:paraId="414B10DA" w14:textId="77777777">
        <w:tc>
          <w:tcPr>
            <w:tcW w:w="0" w:type="auto"/>
          </w:tcPr>
          <w:p w14:paraId="3134ED10" w14:textId="77777777" w:rsidR="00401FAE" w:rsidRDefault="00787C76">
            <w:pPr>
              <w:pStyle w:val="CellTextValue"/>
              <w:jc w:val="left"/>
            </w:pPr>
            <w:r>
              <w:rPr>
                <w:i/>
              </w:rPr>
              <w:t>Eligibility conditions</w:t>
            </w:r>
          </w:p>
        </w:tc>
        <w:tc>
          <w:tcPr>
            <w:tcW w:w="0" w:type="auto"/>
          </w:tcPr>
          <w:p w14:paraId="56774D90" w14:textId="77777777" w:rsidR="00401FAE" w:rsidRDefault="00787C76">
            <w:pPr>
              <w:pStyle w:val="CellTextValue"/>
            </w:pPr>
            <w:r>
              <w:rPr>
                <w:color w:val="000000"/>
              </w:rPr>
              <w:t>The conditions are described in General Annex B. The following exceptions apply:</w:t>
            </w:r>
          </w:p>
          <w:p w14:paraId="39E7637B" w14:textId="77777777" w:rsidR="00401FAE" w:rsidRDefault="00787C76">
            <w:pPr>
              <w:pStyle w:val="CellTextValue"/>
            </w:pPr>
            <w:r>
              <w:rPr>
                <w:color w:val="000000"/>
              </w:rPr>
              <w:t>The Joint Research Centre (JRC) may participate as member of the consortium selected for funding.</w:t>
            </w:r>
          </w:p>
          <w:p w14:paraId="7CE03B2C" w14:textId="77777777" w:rsidR="00401FAE" w:rsidRDefault="00787C76">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7D25D6C" w14:textId="77777777" w:rsidR="00401FAE" w:rsidRDefault="00401FAE">
      <w:pPr>
        <w:spacing w:after="0" w:line="150" w:lineRule="auto"/>
      </w:pPr>
    </w:p>
    <w:p w14:paraId="5C56FD75" w14:textId="77777777" w:rsidR="00401FAE" w:rsidRDefault="00787C76">
      <w:r>
        <w:rPr>
          <w:u w:val="single"/>
        </w:rPr>
        <w:t>Expected Outcome</w:t>
      </w:r>
      <w:r>
        <w:t xml:space="preserve">: </w:t>
      </w:r>
      <w:r>
        <w:rPr>
          <w:color w:val="000000"/>
        </w:rPr>
        <w:t xml:space="preserve"> </w:t>
      </w:r>
    </w:p>
    <w:p w14:paraId="104649D9" w14:textId="77777777" w:rsidR="00401FAE" w:rsidRDefault="00787C76">
      <w:r>
        <w:rPr>
          <w:color w:val="000000"/>
        </w:rPr>
        <w:t>Project activities are expected to contribute to all of the following expected outcomes:</w:t>
      </w:r>
    </w:p>
    <w:p w14:paraId="738BC339" w14:textId="77777777" w:rsidR="00401FAE" w:rsidRDefault="00787C76" w:rsidP="00787C76">
      <w:pPr>
        <w:pStyle w:val="Paragraphedeliste"/>
        <w:numPr>
          <w:ilvl w:val="0"/>
          <w:numId w:val="23"/>
        </w:numPr>
      </w:pPr>
      <w:r>
        <w:rPr>
          <w:color w:val="000000"/>
        </w:rPr>
        <w:t>Enhanced capacities for effective mission deployment in close co-operation with the Mission Core Network and eventual national mission hubs supported through the topic ‘Coordination of complementary actions for missions’</w:t>
      </w:r>
    </w:p>
    <w:p w14:paraId="53CD6727" w14:textId="77777777" w:rsidR="00401FAE" w:rsidRDefault="00787C76" w:rsidP="00787C76">
      <w:pPr>
        <w:pStyle w:val="Paragraphedeliste"/>
        <w:numPr>
          <w:ilvl w:val="0"/>
          <w:numId w:val="23"/>
        </w:numPr>
      </w:pPr>
      <w:r>
        <w:rPr>
          <w:color w:val="000000"/>
        </w:rPr>
        <w:t xml:space="preserve">Increased networking and knowledge exchange between communities across Europe at regional/local level on soil health taking into account various types of land uses and based on the work undertaken in existing and new living labs and lighthouses; </w:t>
      </w:r>
    </w:p>
    <w:p w14:paraId="09FB3058" w14:textId="77777777" w:rsidR="00401FAE" w:rsidRDefault="00787C76" w:rsidP="00787C76">
      <w:pPr>
        <w:pStyle w:val="Paragraphedeliste"/>
        <w:numPr>
          <w:ilvl w:val="0"/>
          <w:numId w:val="23"/>
        </w:numPr>
      </w:pPr>
      <w:r>
        <w:rPr>
          <w:color w:val="000000"/>
        </w:rPr>
        <w:t xml:space="preserve">Decision-makers from policy and the private sector are better equipped to answer to questions on soil quality across land uses due to increased insight into the status of soil health in European regions as well as improved capabilities for assessment and analyses and soil monitoring; </w:t>
      </w:r>
    </w:p>
    <w:p w14:paraId="047A4609" w14:textId="77777777" w:rsidR="00401FAE" w:rsidRDefault="00787C76" w:rsidP="00787C76">
      <w:pPr>
        <w:pStyle w:val="Paragraphedeliste"/>
        <w:numPr>
          <w:ilvl w:val="0"/>
          <w:numId w:val="23"/>
        </w:numPr>
      </w:pPr>
      <w:r>
        <w:rPr>
          <w:color w:val="000000"/>
        </w:rPr>
        <w:t>All sectors of society are informed and/or can make informed decisions regarding soil management through integrated on-line resources in all Member States and Associated Countries and improved access to evidence-based information, data as well as resources and examples of best practices in education and training;</w:t>
      </w:r>
    </w:p>
    <w:p w14:paraId="61DD853C" w14:textId="77777777" w:rsidR="00401FAE" w:rsidRDefault="00787C76" w:rsidP="00787C76">
      <w:pPr>
        <w:pStyle w:val="Paragraphedeliste"/>
        <w:numPr>
          <w:ilvl w:val="0"/>
          <w:numId w:val="23"/>
        </w:numPr>
      </w:pPr>
      <w:r>
        <w:rPr>
          <w:color w:val="000000"/>
        </w:rPr>
        <w:t xml:space="preserve">Virtual, cross-disciplinary communities on soil stewardship are created using social media and making full use of the potential of digital tools.  </w:t>
      </w:r>
    </w:p>
    <w:p w14:paraId="0A4D30F5" w14:textId="77777777" w:rsidR="00401FAE" w:rsidRDefault="00787C76">
      <w:r>
        <w:rPr>
          <w:u w:val="single"/>
        </w:rPr>
        <w:t>Scope</w:t>
      </w:r>
      <w:r>
        <w:t xml:space="preserve">: </w:t>
      </w:r>
      <w:r>
        <w:rPr>
          <w:color w:val="000000"/>
        </w:rPr>
        <w:t xml:space="preserve"> </w:t>
      </w:r>
    </w:p>
    <w:p w14:paraId="4E5BD888" w14:textId="77777777" w:rsidR="00401FAE" w:rsidRDefault="00787C76">
      <w:r>
        <w:rPr>
          <w:color w:val="000000"/>
        </w:rPr>
        <w:t>Life on Earth depends on healthy soils. Soil provides food, clean water and habitats for biodiversity while contributing to climate resilience including an increased preparedness to extreme weather events (both droughts and floods). As the largest terrestrial habitat, soil is a unique ecosystem that is critical to aboveground and belowground biodiversity yet it is the least studied. Partly as a result of an increasing urban lifestyle, there is very little awareness in society on the importance of soils, their functions, the threats to soil health and what can be done to preserve this valuable resource. A lack of education and understanding often underpins land degradation and a loss of soil capacity to provide the functions on which we depend. Both land managers in rural areas and urban planners need improved access to ready-to-use knowledge and to advisory services that can support them in their efforts to manage soils in sustainable ways.</w:t>
      </w:r>
    </w:p>
    <w:p w14:paraId="348EB5B8" w14:textId="77777777" w:rsidR="00401FAE" w:rsidRDefault="00787C76">
      <w:r>
        <w:rPr>
          <w:color w:val="000000"/>
        </w:rPr>
        <w:t xml:space="preserve">Living labs (LLs) and lighthouses (LHs) </w:t>
      </w:r>
      <w:r>
        <w:rPr>
          <w:vertAlign w:val="superscript"/>
        </w:rPr>
        <w:footnoteReference w:id="80"/>
      </w:r>
      <w:r>
        <w:rPr>
          <w:color w:val="000000"/>
        </w:rPr>
        <w:t xml:space="preserve"> are emerging as places for engagement of communities to co-create, test and upscale solutions in various domains. However, LLs and LHs working on soil management are not yet widespread and information on existing experiences is scattered.</w:t>
      </w:r>
    </w:p>
    <w:p w14:paraId="61DE254A" w14:textId="77777777" w:rsidR="00401FAE" w:rsidRDefault="00787C76">
      <w:r>
        <w:rPr>
          <w:color w:val="000000"/>
        </w:rPr>
        <w:t>Proposed activities will lay the ground for rapid take-up of mission activities following its formal approval. Proposals should therefore:</w:t>
      </w:r>
    </w:p>
    <w:p w14:paraId="224972BC" w14:textId="77777777" w:rsidR="00401FAE" w:rsidRDefault="00787C76" w:rsidP="00787C76">
      <w:pPr>
        <w:pStyle w:val="Paragraphedeliste"/>
        <w:numPr>
          <w:ilvl w:val="0"/>
          <w:numId w:val="24"/>
        </w:numPr>
      </w:pPr>
      <w:r>
        <w:rPr>
          <w:color w:val="000000"/>
        </w:rPr>
        <w:t>identify in close cooperation with regional authorities, stakeholders and communities existing “soil needs” (e.g. status, main problems and priority areas for improvement) in a number of contrasting regions in each Member State and Associated Country so that different land use systems are addressed. Insight on the status of soils and the main challenges to soil health should be a starting point for recommendations on priority actions and activities to be implemented in living labs and lighthouses;</w:t>
      </w:r>
    </w:p>
    <w:p w14:paraId="76C34A85" w14:textId="77777777" w:rsidR="00401FAE" w:rsidRDefault="00787C76" w:rsidP="00787C76">
      <w:pPr>
        <w:pStyle w:val="Paragraphedeliste"/>
        <w:numPr>
          <w:ilvl w:val="0"/>
          <w:numId w:val="24"/>
        </w:numPr>
      </w:pPr>
      <w:r>
        <w:rPr>
          <w:color w:val="000000"/>
        </w:rPr>
        <w:t xml:space="preserve">develop tools to support networking and knowledge exchange of communities working at regional/local level on soil health and create Communities of Practice (CoP) in the respective regions. This should include a mapping of current and emerging Living Labs and Lighthouses targeting various types of land uses (e.g. in agriculture, forestry, urban and natural areas). The mapping of living labs and lighthouses shall ensure that a variety of locations are represented reflecting the diversity of soils, land uses as well as socio-economic and demographic conditions. Results of the mapping should be displayed through an interactive map showing relevant information, for example on context (land use type, funding sources, etc.), activities and partners involved; </w:t>
      </w:r>
    </w:p>
    <w:p w14:paraId="3D0EC14F" w14:textId="77777777" w:rsidR="00401FAE" w:rsidRDefault="00787C76" w:rsidP="00787C76">
      <w:pPr>
        <w:pStyle w:val="Paragraphedeliste"/>
        <w:numPr>
          <w:ilvl w:val="0"/>
          <w:numId w:val="24"/>
        </w:numPr>
      </w:pPr>
      <w:r>
        <w:rPr>
          <w:color w:val="000000"/>
        </w:rPr>
        <w:t>develop “model business plans” for Living Labs and Lighthouses (e.g. specifying ownership, funding, goals and activities) taking into account different regions at NUTS 2 level and different land uses.</w:t>
      </w:r>
    </w:p>
    <w:p w14:paraId="7A1ACA3D" w14:textId="77777777" w:rsidR="00401FAE" w:rsidRDefault="00787C76" w:rsidP="00787C76">
      <w:pPr>
        <w:pStyle w:val="Paragraphedeliste"/>
        <w:numPr>
          <w:ilvl w:val="0"/>
          <w:numId w:val="24"/>
        </w:numPr>
      </w:pPr>
      <w:r>
        <w:rPr>
          <w:color w:val="000000"/>
        </w:rPr>
        <w:t>improve the knowledge base required to assess progress in monitoring soils and meeting the targets proposed by the Mission Board Soil Health and Food. Activities should be undertaken in close collaboration with Member States Associated Countries and the EU Soil Observatory</w:t>
      </w:r>
      <w:r>
        <w:rPr>
          <w:vertAlign w:val="superscript"/>
        </w:rPr>
        <w:footnoteReference w:id="81"/>
      </w:r>
      <w:r>
        <w:rPr>
          <w:color w:val="000000"/>
        </w:rPr>
        <w:t>. They will depend amongst others on harmonised and regular soil data collection, common definitions and possibly thresholds identified for each Member States and Associated Countries for the mission’s proposed soil health indicators;</w:t>
      </w:r>
    </w:p>
    <w:p w14:paraId="70CD7E7E" w14:textId="77777777" w:rsidR="00401FAE" w:rsidRDefault="00787C76" w:rsidP="00787C76">
      <w:pPr>
        <w:pStyle w:val="Paragraphedeliste"/>
        <w:numPr>
          <w:ilvl w:val="0"/>
          <w:numId w:val="24"/>
        </w:numPr>
      </w:pPr>
      <w:r>
        <w:rPr>
          <w:color w:val="000000"/>
        </w:rPr>
        <w:t xml:space="preserve">connect existing on-line resources on soil information to provide a single point for access to this information (a one-stop shop for soil literacy) in each Member State and Associated Country. In view of taking a systemic approach to soil health, the information should extend to sectors/activities that have an impact on soils (e.g. sources of pollution) as well as information on wider impacts of unhealthy soils (e.g. on water bodies). This one stop shop or platform should connect diverse organisations, projects and people that contribute to the sustainable management of soils by promoting soil advocates in different fields/roles/regions. It should also help identifying “agents of transition”, i.e. people supporting changes in perception, values, attitudes and behaviour towards more sustainable practices and management of soils while promoting the economic benefits from restoration opportunities; </w:t>
      </w:r>
    </w:p>
    <w:p w14:paraId="167A9D30" w14:textId="77777777" w:rsidR="00401FAE" w:rsidRDefault="00787C76" w:rsidP="00787C76">
      <w:pPr>
        <w:pStyle w:val="Paragraphedeliste"/>
        <w:numPr>
          <w:ilvl w:val="0"/>
          <w:numId w:val="24"/>
        </w:numPr>
      </w:pPr>
      <w:r>
        <w:rPr>
          <w:color w:val="000000"/>
        </w:rPr>
        <w:t>link this one-stop shop in each Member State and Associated Country to “best of” online material to inspire and connect citizens to the topics of soil health (e.g. films, websites, apps, games, educational tools). The material should target different groups and be displayed in local official languages. Links should also be established with good examples for online material in Europe and internationally;</w:t>
      </w:r>
    </w:p>
    <w:p w14:paraId="78ED0630" w14:textId="77777777" w:rsidR="00401FAE" w:rsidRDefault="00787C76" w:rsidP="00787C76">
      <w:pPr>
        <w:pStyle w:val="Paragraphedeliste"/>
        <w:numPr>
          <w:ilvl w:val="0"/>
          <w:numId w:val="24"/>
        </w:numPr>
      </w:pPr>
      <w:r>
        <w:rPr>
          <w:color w:val="000000"/>
        </w:rPr>
        <w:t xml:space="preserve">promote and reward on-going or recent examples of soil education and social innovation in the area of soil health to increase understanding of soils by the public at large.  </w:t>
      </w:r>
    </w:p>
    <w:p w14:paraId="381351C7" w14:textId="77777777" w:rsidR="00401FAE" w:rsidRDefault="00787C76">
      <w:r>
        <w:rPr>
          <w:color w:val="000000"/>
        </w:rPr>
        <w:t xml:space="preserve">In carrying out the tasks the project should tap into the expertise of partners from various sectors (e.g. research, land managers including farmers and foresters, education, communication, citizens and civil society, food and non-food industries, spatial planners, public authorities) and address soil health in the context of various land uses. This is in line with the approach taken by the proposed mission Caring for Soil is Caring for Life. </w:t>
      </w:r>
    </w:p>
    <w:p w14:paraId="58352053" w14:textId="77777777" w:rsidR="00401FAE" w:rsidRDefault="00787C76">
      <w:r>
        <w:rPr>
          <w:color w:val="000000"/>
        </w:rPr>
        <w:t xml:space="preserve">Proposals should demonstrate a route towards open access, longevity, sustainability and interoperability of knowledge and outputs, also through close collaboration with the JRC’s EU Soil Observatory. </w:t>
      </w:r>
    </w:p>
    <w:p w14:paraId="0925F29D" w14:textId="77777777" w:rsidR="00401FAE" w:rsidRDefault="00787C76">
      <w:r>
        <w:rPr>
          <w:color w:val="000000"/>
        </w:rPr>
        <w:t xml:space="preserve">They should build on existing activities and ensure cooperation with relevant projects under Horizon 2020 such as the SMS project and the European Joint Partnership EJP Soil. Activities should also take into account the implementation of living labs under a possible future partnership on agroecology which is under preparation. This should ensure compatibility and cooperation between living labs associated to the mission and the future partnership. </w:t>
      </w:r>
    </w:p>
    <w:p w14:paraId="0FD91813" w14:textId="77777777" w:rsidR="00401FAE" w:rsidRDefault="00787C76">
      <w:r>
        <w:rPr>
          <w:color w:val="000000"/>
        </w:rPr>
        <w:t xml:space="preserve">Activities should also support the objectives of the upcoming EU Soil Strategy, and other major initiatives in the area of soil health. </w:t>
      </w:r>
    </w:p>
    <w:p w14:paraId="167D5CBC" w14:textId="77777777" w:rsidR="00401FAE" w:rsidRDefault="00787C76">
      <w:r>
        <w:rPr>
          <w:color w:val="000000"/>
        </w:rPr>
        <w:t>If projects use satellite based earth observation, positioning, navigation and/or related timing data and services, beneficiaries must make use of Copernicus and/or Galileo/EGNOS. Other data and services may be used in addition.</w:t>
      </w:r>
    </w:p>
    <w:p w14:paraId="625B44E1" w14:textId="77777777" w:rsidR="00401FAE" w:rsidRDefault="00787C76">
      <w:pPr>
        <w:pStyle w:val="HeadingOne"/>
        <w:pageBreakBefore/>
      </w:pPr>
      <w:bookmarkStart w:id="22" w:name="_Toc69807956"/>
      <w:r>
        <w:t>Destination: Complementing missions through national activities</w:t>
      </w:r>
      <w:bookmarkEnd w:id="22"/>
    </w:p>
    <w:p w14:paraId="626E487F" w14:textId="77777777" w:rsidR="00401FAE" w:rsidRDefault="00787C76">
      <w:r>
        <w:rPr>
          <w:color w:val="000000"/>
        </w:rPr>
        <w:t>The goal is to develop a coordination network to engage Member States and Associated Countries, and in particular their respective programmes and actions, in support of the missions and towards achieving mission objectives. Missions are rooted in research and innovation. However, EU-level research and innovation actions alone will not be sufficient to achieve the societal impact they aim to deliver. Complementary actions from Member States and countries associated to Horizon Europe will significantly increase the chance of success of missions. This network will facilitate alignment and where possible coordination of these actions, in support of the missions and increase their impact.</w:t>
      </w:r>
    </w:p>
    <w:p w14:paraId="3BE02B65" w14:textId="77777777" w:rsidR="00401FAE" w:rsidRDefault="00787C76">
      <w:r>
        <w:rPr>
          <w:color w:val="000000"/>
        </w:rPr>
        <w:t>Proposals for topics under this Destination should set out a credible pathway to contributing to the Destination’s goal and objectives, and more specifically to all the following impacts:</w:t>
      </w:r>
    </w:p>
    <w:p w14:paraId="21ED93D1" w14:textId="77777777" w:rsidR="00401FAE" w:rsidRDefault="00787C76" w:rsidP="00787C76">
      <w:pPr>
        <w:pStyle w:val="Paragraphedeliste"/>
        <w:numPr>
          <w:ilvl w:val="0"/>
          <w:numId w:val="25"/>
        </w:numPr>
      </w:pPr>
      <w:r>
        <w:rPr>
          <w:color w:val="000000"/>
        </w:rPr>
        <w:t>Increased commitment at institutional level in EU Member States and Associated Countries to implement complementary actions in support of missions;</w:t>
      </w:r>
    </w:p>
    <w:p w14:paraId="324C6F66" w14:textId="77777777" w:rsidR="00401FAE" w:rsidRDefault="00787C76" w:rsidP="00787C76">
      <w:pPr>
        <w:pStyle w:val="Paragraphedeliste"/>
        <w:numPr>
          <w:ilvl w:val="0"/>
          <w:numId w:val="25"/>
        </w:numPr>
      </w:pPr>
      <w:r>
        <w:rPr>
          <w:color w:val="000000"/>
        </w:rPr>
        <w:t xml:space="preserve">Facilitate exchanges of ideas and knowledge on how to achieve mission goals and how to support them through national, regional and local actions; </w:t>
      </w:r>
    </w:p>
    <w:p w14:paraId="395A77EB" w14:textId="77777777" w:rsidR="00401FAE" w:rsidRDefault="00787C76" w:rsidP="00787C76">
      <w:pPr>
        <w:pStyle w:val="Paragraphedeliste"/>
        <w:numPr>
          <w:ilvl w:val="0"/>
          <w:numId w:val="25"/>
        </w:numPr>
      </w:pPr>
      <w:r>
        <w:rPr>
          <w:color w:val="000000"/>
        </w:rPr>
        <w:t xml:space="preserve">Increased preparedness for mission implementation. </w:t>
      </w:r>
    </w:p>
    <w:p w14:paraId="5EB7405F"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77"/>
        <w:gridCol w:w="2000"/>
        <w:gridCol w:w="1430"/>
      </w:tblGrid>
      <w:tr w:rsidR="00401FAE" w14:paraId="4E1E547B" w14:textId="77777777">
        <w:tc>
          <w:tcPr>
            <w:tcW w:w="0" w:type="auto"/>
            <w:vMerge w:val="restart"/>
          </w:tcPr>
          <w:p w14:paraId="372D59B9" w14:textId="77777777" w:rsidR="00401FAE" w:rsidRDefault="00787C76">
            <w:pPr>
              <w:pStyle w:val="CellHeaderTextValue"/>
            </w:pPr>
            <w:r>
              <w:t>Call</w:t>
            </w:r>
          </w:p>
        </w:tc>
        <w:tc>
          <w:tcPr>
            <w:tcW w:w="0" w:type="auto"/>
          </w:tcPr>
          <w:p w14:paraId="61D7E68C" w14:textId="77777777" w:rsidR="00401FAE" w:rsidRDefault="00787C76">
            <w:pPr>
              <w:pStyle w:val="CellHeaderTextValue"/>
            </w:pPr>
            <w:r>
              <w:t>Budgets (EUR million)</w:t>
            </w:r>
          </w:p>
        </w:tc>
        <w:tc>
          <w:tcPr>
            <w:tcW w:w="0" w:type="auto"/>
            <w:vMerge w:val="restart"/>
          </w:tcPr>
          <w:p w14:paraId="32B4689E" w14:textId="77777777" w:rsidR="00401FAE" w:rsidRDefault="00787C76">
            <w:pPr>
              <w:pStyle w:val="CellHeaderTextValue"/>
            </w:pPr>
            <w:r>
              <w:t>Deadline(s)</w:t>
            </w:r>
          </w:p>
        </w:tc>
      </w:tr>
      <w:tr w:rsidR="00401FAE" w14:paraId="27124E34" w14:textId="77777777">
        <w:tc>
          <w:tcPr>
            <w:tcW w:w="0" w:type="auto"/>
            <w:vMerge/>
          </w:tcPr>
          <w:p w14:paraId="7C9BDFC7" w14:textId="77777777" w:rsidR="00401FAE" w:rsidRDefault="00401FAE"/>
        </w:tc>
        <w:tc>
          <w:tcPr>
            <w:tcW w:w="2000" w:type="dxa"/>
          </w:tcPr>
          <w:p w14:paraId="02E4C11E" w14:textId="77777777" w:rsidR="00401FAE" w:rsidRDefault="00787C76">
            <w:pPr>
              <w:pStyle w:val="CellHeaderTextValue"/>
            </w:pPr>
            <w:r>
              <w:t>2021</w:t>
            </w:r>
          </w:p>
        </w:tc>
        <w:tc>
          <w:tcPr>
            <w:tcW w:w="0" w:type="auto"/>
            <w:vMerge/>
          </w:tcPr>
          <w:p w14:paraId="1CD15E10" w14:textId="77777777" w:rsidR="00401FAE" w:rsidRDefault="00401FAE"/>
        </w:tc>
      </w:tr>
      <w:tr w:rsidR="00401FAE" w14:paraId="777C58CA" w14:textId="77777777">
        <w:tc>
          <w:tcPr>
            <w:tcW w:w="0" w:type="auto"/>
          </w:tcPr>
          <w:p w14:paraId="044EE8D3" w14:textId="77777777" w:rsidR="00401FAE" w:rsidRDefault="00787C76">
            <w:pPr>
              <w:pStyle w:val="CellTextValue"/>
            </w:pPr>
            <w:r>
              <w:t>HORIZON-MISS-2021-COOR-01</w:t>
            </w:r>
          </w:p>
        </w:tc>
        <w:tc>
          <w:tcPr>
            <w:tcW w:w="0" w:type="auto"/>
          </w:tcPr>
          <w:p w14:paraId="6246A883" w14:textId="77777777" w:rsidR="00401FAE" w:rsidRDefault="00787C76">
            <w:pPr>
              <w:pStyle w:val="CellTextValue"/>
            </w:pPr>
            <w:r>
              <w:t>2.00</w:t>
            </w:r>
          </w:p>
        </w:tc>
        <w:tc>
          <w:tcPr>
            <w:tcW w:w="0" w:type="auto"/>
          </w:tcPr>
          <w:p w14:paraId="4BBB9CD4" w14:textId="77777777" w:rsidR="00401FAE" w:rsidRDefault="00787C76">
            <w:pPr>
              <w:pStyle w:val="CellTextValue"/>
            </w:pPr>
            <w:r>
              <w:t>09 Sep 2021</w:t>
            </w:r>
          </w:p>
        </w:tc>
      </w:tr>
      <w:tr w:rsidR="00401FAE" w14:paraId="50AAE2FE" w14:textId="77777777">
        <w:tc>
          <w:tcPr>
            <w:tcW w:w="0" w:type="auto"/>
          </w:tcPr>
          <w:p w14:paraId="78672D2C" w14:textId="77777777" w:rsidR="00401FAE" w:rsidRDefault="00787C76">
            <w:pPr>
              <w:pStyle w:val="CellTextValue"/>
            </w:pPr>
            <w:r>
              <w:t>Overall indicative budget</w:t>
            </w:r>
          </w:p>
        </w:tc>
        <w:tc>
          <w:tcPr>
            <w:tcW w:w="0" w:type="auto"/>
          </w:tcPr>
          <w:p w14:paraId="293CF17D" w14:textId="77777777" w:rsidR="00401FAE" w:rsidRDefault="00787C76">
            <w:pPr>
              <w:pStyle w:val="CellTextValue"/>
            </w:pPr>
            <w:r>
              <w:t>2.00</w:t>
            </w:r>
          </w:p>
        </w:tc>
        <w:tc>
          <w:tcPr>
            <w:tcW w:w="0" w:type="auto"/>
          </w:tcPr>
          <w:p w14:paraId="22090FAB" w14:textId="77777777" w:rsidR="00401FAE" w:rsidRDefault="00401FAE"/>
        </w:tc>
      </w:tr>
    </w:tbl>
    <w:p w14:paraId="46D31C3D" w14:textId="77777777" w:rsidR="00401FAE" w:rsidRDefault="00401FAE">
      <w:pPr>
        <w:spacing w:after="0" w:line="150" w:lineRule="auto"/>
      </w:pPr>
    </w:p>
    <w:p w14:paraId="2BEF3491" w14:textId="77777777" w:rsidR="00401FAE" w:rsidRDefault="00401FAE">
      <w:pPr>
        <w:pageBreakBefore/>
      </w:pPr>
    </w:p>
    <w:p w14:paraId="12C06171" w14:textId="77777777" w:rsidR="00401FAE" w:rsidRDefault="00787C76">
      <w:pPr>
        <w:pStyle w:val="HeadingTwo"/>
      </w:pPr>
      <w:bookmarkStart w:id="23" w:name="_Toc69807957"/>
      <w:r>
        <w:t>Call - Coordination of complementary actions for missions</w:t>
      </w:r>
      <w:bookmarkEnd w:id="23"/>
      <w:r>
        <w:t xml:space="preserve"> </w:t>
      </w:r>
    </w:p>
    <w:p w14:paraId="7966D974" w14:textId="77777777" w:rsidR="00401FAE" w:rsidRDefault="00787C76">
      <w:pPr>
        <w:pStyle w:val="CallIdentifier"/>
      </w:pPr>
      <w:r>
        <w:t>HORIZON-MISS-2021-COOR-01</w:t>
      </w:r>
    </w:p>
    <w:p w14:paraId="79B13A30" w14:textId="77777777" w:rsidR="00401FAE" w:rsidRDefault="00787C76">
      <w:pPr>
        <w:pStyle w:val="HeadingThree"/>
      </w:pPr>
      <w:bookmarkStart w:id="24" w:name="_Toc69807958"/>
      <w:r>
        <w:t>Conditions for the Call</w:t>
      </w:r>
      <w:bookmarkEnd w:id="24"/>
    </w:p>
    <w:p w14:paraId="1F1237CE" w14:textId="77777777" w:rsidR="00401FAE" w:rsidRDefault="00787C76">
      <w:r>
        <w:rPr>
          <w:u w:val="single"/>
        </w:rPr>
        <w:t>Indicative budget(s)</w:t>
      </w:r>
      <w:r>
        <w:rPr>
          <w:vertAlign w:val="superscript"/>
        </w:rPr>
        <w:footnoteReference w:id="8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97"/>
        <w:gridCol w:w="884"/>
        <w:gridCol w:w="1225"/>
        <w:gridCol w:w="1983"/>
        <w:gridCol w:w="1083"/>
      </w:tblGrid>
      <w:tr w:rsidR="00401FAE" w14:paraId="315C8DC4" w14:textId="77777777">
        <w:tc>
          <w:tcPr>
            <w:tcW w:w="2000" w:type="dxa"/>
            <w:vMerge w:val="restart"/>
          </w:tcPr>
          <w:p w14:paraId="18F390C3" w14:textId="77777777" w:rsidR="00401FAE" w:rsidRDefault="00787C76">
            <w:pPr>
              <w:pStyle w:val="CellHeaderTextValue"/>
            </w:pPr>
            <w:r>
              <w:t>Topics</w:t>
            </w:r>
          </w:p>
        </w:tc>
        <w:tc>
          <w:tcPr>
            <w:tcW w:w="800" w:type="dxa"/>
            <w:vMerge w:val="restart"/>
          </w:tcPr>
          <w:p w14:paraId="530541C9" w14:textId="77777777" w:rsidR="00401FAE" w:rsidRDefault="00787C76">
            <w:pPr>
              <w:pStyle w:val="CellHeaderTextValue"/>
            </w:pPr>
            <w:r>
              <w:t>Type of Action</w:t>
            </w:r>
          </w:p>
        </w:tc>
        <w:tc>
          <w:tcPr>
            <w:tcW w:w="0" w:type="auto"/>
          </w:tcPr>
          <w:p w14:paraId="0BB997A9" w14:textId="77777777" w:rsidR="00401FAE" w:rsidRDefault="00787C76">
            <w:pPr>
              <w:pStyle w:val="CellHeaderTextValue"/>
            </w:pPr>
            <w:r>
              <w:t>Budgets (EUR million)</w:t>
            </w:r>
          </w:p>
        </w:tc>
        <w:tc>
          <w:tcPr>
            <w:tcW w:w="0" w:type="auto"/>
            <w:vMerge w:val="restart"/>
          </w:tcPr>
          <w:p w14:paraId="69FBE77D" w14:textId="77777777" w:rsidR="00401FAE" w:rsidRDefault="00787C76">
            <w:pPr>
              <w:pStyle w:val="CellHeaderTextValue"/>
            </w:pPr>
            <w:r>
              <w:t>Expected EU contribution per project (EUR million)</w:t>
            </w:r>
            <w:r>
              <w:rPr>
                <w:vertAlign w:val="superscript"/>
              </w:rPr>
              <w:footnoteReference w:id="83"/>
            </w:r>
          </w:p>
        </w:tc>
        <w:tc>
          <w:tcPr>
            <w:tcW w:w="800" w:type="dxa"/>
            <w:vMerge w:val="restart"/>
          </w:tcPr>
          <w:p w14:paraId="7FEC8FFB" w14:textId="77777777" w:rsidR="00401FAE" w:rsidRDefault="00787C76">
            <w:pPr>
              <w:pStyle w:val="CellHeaderTextValue"/>
            </w:pPr>
            <w:r>
              <w:t>Number of projects expected to be funded</w:t>
            </w:r>
          </w:p>
        </w:tc>
      </w:tr>
      <w:tr w:rsidR="00401FAE" w14:paraId="46C64C82" w14:textId="77777777">
        <w:tc>
          <w:tcPr>
            <w:tcW w:w="0" w:type="auto"/>
            <w:vMerge/>
          </w:tcPr>
          <w:p w14:paraId="46B75C2A" w14:textId="77777777" w:rsidR="00401FAE" w:rsidRDefault="00401FAE"/>
        </w:tc>
        <w:tc>
          <w:tcPr>
            <w:tcW w:w="0" w:type="auto"/>
            <w:vMerge/>
          </w:tcPr>
          <w:p w14:paraId="0357876F" w14:textId="77777777" w:rsidR="00401FAE" w:rsidRDefault="00401FAE"/>
        </w:tc>
        <w:tc>
          <w:tcPr>
            <w:tcW w:w="0" w:type="auto"/>
          </w:tcPr>
          <w:p w14:paraId="4FF36E70" w14:textId="77777777" w:rsidR="00401FAE" w:rsidRDefault="00787C76">
            <w:pPr>
              <w:pStyle w:val="CellHeaderTextValue"/>
            </w:pPr>
            <w:r>
              <w:t>2021</w:t>
            </w:r>
          </w:p>
        </w:tc>
        <w:tc>
          <w:tcPr>
            <w:tcW w:w="0" w:type="auto"/>
            <w:vMerge/>
          </w:tcPr>
          <w:p w14:paraId="48E0929B" w14:textId="77777777" w:rsidR="00401FAE" w:rsidRDefault="00401FAE"/>
        </w:tc>
        <w:tc>
          <w:tcPr>
            <w:tcW w:w="0" w:type="auto"/>
            <w:vMerge/>
          </w:tcPr>
          <w:p w14:paraId="6A652EEE" w14:textId="77777777" w:rsidR="00401FAE" w:rsidRDefault="00401FAE"/>
        </w:tc>
      </w:tr>
      <w:tr w:rsidR="00787C76" w14:paraId="607FA860" w14:textId="77777777" w:rsidTr="00787C76">
        <w:tc>
          <w:tcPr>
            <w:tcW w:w="0" w:type="auto"/>
            <w:gridSpan w:val="5"/>
          </w:tcPr>
          <w:p w14:paraId="4071EE38" w14:textId="77777777" w:rsidR="00401FAE" w:rsidRDefault="00787C76">
            <w:pPr>
              <w:pStyle w:val="CellTextValue"/>
              <w:jc w:val="center"/>
            </w:pPr>
            <w:r>
              <w:t>Opening: 18 May 2021</w:t>
            </w:r>
          </w:p>
          <w:p w14:paraId="6DCCAFC2" w14:textId="77777777" w:rsidR="00401FAE" w:rsidRDefault="00787C76">
            <w:pPr>
              <w:pStyle w:val="CellTextValue"/>
              <w:jc w:val="center"/>
            </w:pPr>
            <w:r>
              <w:t>Deadline(s): 09 Sep 2021</w:t>
            </w:r>
          </w:p>
        </w:tc>
      </w:tr>
      <w:tr w:rsidR="00401FAE" w14:paraId="219EDEB5" w14:textId="77777777">
        <w:tc>
          <w:tcPr>
            <w:tcW w:w="0" w:type="auto"/>
          </w:tcPr>
          <w:p w14:paraId="1C6B514E" w14:textId="77777777" w:rsidR="00401FAE" w:rsidRDefault="00787C76">
            <w:pPr>
              <w:pStyle w:val="CellTextValue"/>
            </w:pPr>
            <w:r>
              <w:t>HORIZON-MISS-2021-COOR-01-01</w:t>
            </w:r>
          </w:p>
        </w:tc>
        <w:tc>
          <w:tcPr>
            <w:tcW w:w="0" w:type="auto"/>
          </w:tcPr>
          <w:p w14:paraId="5C1ADC6D" w14:textId="77777777" w:rsidR="00401FAE" w:rsidRDefault="00787C76">
            <w:pPr>
              <w:pStyle w:val="CellTextValue"/>
            </w:pPr>
            <w:r>
              <w:t>CSA</w:t>
            </w:r>
          </w:p>
        </w:tc>
        <w:tc>
          <w:tcPr>
            <w:tcW w:w="0" w:type="auto"/>
            <w:vMerge w:val="restart"/>
          </w:tcPr>
          <w:p w14:paraId="0D871931" w14:textId="77777777" w:rsidR="00401FAE" w:rsidRDefault="00787C76">
            <w:pPr>
              <w:pStyle w:val="CellTextValue"/>
            </w:pPr>
            <w:r>
              <w:t xml:space="preserve">2.00 </w:t>
            </w:r>
            <w:r>
              <w:rPr>
                <w:vertAlign w:val="superscript"/>
              </w:rPr>
              <w:footnoteReference w:id="84"/>
            </w:r>
          </w:p>
        </w:tc>
        <w:tc>
          <w:tcPr>
            <w:tcW w:w="0" w:type="auto"/>
          </w:tcPr>
          <w:p w14:paraId="12DE2D3E" w14:textId="77777777" w:rsidR="00401FAE" w:rsidRDefault="00787C76">
            <w:pPr>
              <w:pStyle w:val="CellTextValue"/>
            </w:pPr>
            <w:r>
              <w:t>Around 2.00</w:t>
            </w:r>
          </w:p>
        </w:tc>
        <w:tc>
          <w:tcPr>
            <w:tcW w:w="0" w:type="auto"/>
          </w:tcPr>
          <w:p w14:paraId="707A5F17" w14:textId="77777777" w:rsidR="00401FAE" w:rsidRDefault="00787C76">
            <w:pPr>
              <w:pStyle w:val="CellTextValue"/>
            </w:pPr>
            <w:r>
              <w:t>1</w:t>
            </w:r>
          </w:p>
        </w:tc>
      </w:tr>
      <w:tr w:rsidR="00401FAE" w14:paraId="103BC9EB" w14:textId="77777777">
        <w:tc>
          <w:tcPr>
            <w:tcW w:w="0" w:type="auto"/>
          </w:tcPr>
          <w:p w14:paraId="66D28837" w14:textId="77777777" w:rsidR="00401FAE" w:rsidRDefault="00787C76">
            <w:pPr>
              <w:pStyle w:val="CellTextValue"/>
            </w:pPr>
            <w:r>
              <w:t>Overall indicative budget</w:t>
            </w:r>
          </w:p>
        </w:tc>
        <w:tc>
          <w:tcPr>
            <w:tcW w:w="0" w:type="auto"/>
          </w:tcPr>
          <w:p w14:paraId="35C0843E" w14:textId="77777777" w:rsidR="00401FAE" w:rsidRDefault="00401FAE"/>
        </w:tc>
        <w:tc>
          <w:tcPr>
            <w:tcW w:w="0" w:type="auto"/>
          </w:tcPr>
          <w:p w14:paraId="359E0555" w14:textId="77777777" w:rsidR="00401FAE" w:rsidRDefault="00787C76">
            <w:pPr>
              <w:pStyle w:val="CellTextValue"/>
            </w:pPr>
            <w:r>
              <w:t>2.00</w:t>
            </w:r>
          </w:p>
        </w:tc>
        <w:tc>
          <w:tcPr>
            <w:tcW w:w="0" w:type="auto"/>
          </w:tcPr>
          <w:p w14:paraId="0A3F5A4F" w14:textId="77777777" w:rsidR="00401FAE" w:rsidRDefault="00401FAE"/>
        </w:tc>
        <w:tc>
          <w:tcPr>
            <w:tcW w:w="0" w:type="auto"/>
          </w:tcPr>
          <w:p w14:paraId="3B7846AA" w14:textId="77777777" w:rsidR="00401FAE" w:rsidRDefault="00401FAE"/>
        </w:tc>
      </w:tr>
    </w:tbl>
    <w:p w14:paraId="60BDEDE6"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01C9521A" w14:textId="77777777" w:rsidTr="00787C76">
        <w:tc>
          <w:tcPr>
            <w:tcW w:w="0" w:type="auto"/>
            <w:gridSpan w:val="2"/>
          </w:tcPr>
          <w:p w14:paraId="715C6CDD" w14:textId="77777777" w:rsidR="00401FAE" w:rsidRDefault="00787C76">
            <w:pPr>
              <w:pStyle w:val="CellTextValue"/>
            </w:pPr>
            <w:r>
              <w:rPr>
                <w:b/>
              </w:rPr>
              <w:t>General conditions relating to this call</w:t>
            </w:r>
          </w:p>
        </w:tc>
      </w:tr>
      <w:tr w:rsidR="00401FAE" w14:paraId="1BB8123A" w14:textId="77777777">
        <w:tc>
          <w:tcPr>
            <w:tcW w:w="0" w:type="auto"/>
          </w:tcPr>
          <w:p w14:paraId="235F4DA5" w14:textId="77777777" w:rsidR="00401FAE" w:rsidRDefault="00787C76">
            <w:pPr>
              <w:pStyle w:val="CellTextValue"/>
              <w:jc w:val="left"/>
            </w:pPr>
            <w:r>
              <w:rPr>
                <w:i/>
              </w:rPr>
              <w:t>Admissibility conditions</w:t>
            </w:r>
          </w:p>
        </w:tc>
        <w:tc>
          <w:tcPr>
            <w:tcW w:w="0" w:type="auto"/>
          </w:tcPr>
          <w:p w14:paraId="1A326E24" w14:textId="77777777" w:rsidR="00401FAE" w:rsidRDefault="00787C76">
            <w:pPr>
              <w:pStyle w:val="CellTextValue"/>
            </w:pPr>
            <w:r>
              <w:rPr>
                <w:color w:val="000000"/>
              </w:rPr>
              <w:t>The conditions are described in General Annex A.</w:t>
            </w:r>
          </w:p>
        </w:tc>
      </w:tr>
      <w:tr w:rsidR="00401FAE" w14:paraId="74C9CE75" w14:textId="77777777">
        <w:tc>
          <w:tcPr>
            <w:tcW w:w="0" w:type="auto"/>
          </w:tcPr>
          <w:p w14:paraId="7FA008EB" w14:textId="77777777" w:rsidR="00401FAE" w:rsidRDefault="00787C76">
            <w:pPr>
              <w:pStyle w:val="CellTextValue"/>
              <w:jc w:val="left"/>
            </w:pPr>
            <w:r>
              <w:rPr>
                <w:i/>
              </w:rPr>
              <w:t>Eligibility conditions</w:t>
            </w:r>
          </w:p>
        </w:tc>
        <w:tc>
          <w:tcPr>
            <w:tcW w:w="0" w:type="auto"/>
          </w:tcPr>
          <w:p w14:paraId="39831502" w14:textId="77777777" w:rsidR="00401FAE" w:rsidRDefault="00787C76">
            <w:pPr>
              <w:pStyle w:val="CellTextValue"/>
            </w:pPr>
            <w:r>
              <w:rPr>
                <w:color w:val="000000"/>
              </w:rPr>
              <w:t>The conditions are described in General Annex B.</w:t>
            </w:r>
          </w:p>
        </w:tc>
      </w:tr>
      <w:tr w:rsidR="00401FAE" w14:paraId="39FCFBE7" w14:textId="77777777">
        <w:tc>
          <w:tcPr>
            <w:tcW w:w="0" w:type="auto"/>
          </w:tcPr>
          <w:p w14:paraId="7D024B72" w14:textId="77777777" w:rsidR="00401FAE" w:rsidRDefault="00787C76">
            <w:pPr>
              <w:pStyle w:val="CellTextValue"/>
              <w:jc w:val="left"/>
            </w:pPr>
            <w:r>
              <w:rPr>
                <w:i/>
              </w:rPr>
              <w:t>Financial and operational capacity and exclusion</w:t>
            </w:r>
          </w:p>
        </w:tc>
        <w:tc>
          <w:tcPr>
            <w:tcW w:w="0" w:type="auto"/>
          </w:tcPr>
          <w:p w14:paraId="5C1558D0" w14:textId="77777777" w:rsidR="00401FAE" w:rsidRDefault="00787C76">
            <w:pPr>
              <w:pStyle w:val="CellTextValue"/>
            </w:pPr>
            <w:r>
              <w:rPr>
                <w:color w:val="000000"/>
              </w:rPr>
              <w:t>The criteria are described in General Annex C.</w:t>
            </w:r>
          </w:p>
        </w:tc>
      </w:tr>
      <w:tr w:rsidR="00401FAE" w14:paraId="0C05628F" w14:textId="77777777">
        <w:tc>
          <w:tcPr>
            <w:tcW w:w="0" w:type="auto"/>
          </w:tcPr>
          <w:p w14:paraId="3958ACAD" w14:textId="77777777" w:rsidR="00401FAE" w:rsidRDefault="00787C76">
            <w:pPr>
              <w:pStyle w:val="CellTextValue"/>
              <w:jc w:val="left"/>
            </w:pPr>
            <w:r>
              <w:rPr>
                <w:i/>
              </w:rPr>
              <w:t>Award criteria</w:t>
            </w:r>
          </w:p>
        </w:tc>
        <w:tc>
          <w:tcPr>
            <w:tcW w:w="0" w:type="auto"/>
          </w:tcPr>
          <w:p w14:paraId="19E547EF" w14:textId="77777777" w:rsidR="00401FAE" w:rsidRDefault="00787C76">
            <w:pPr>
              <w:pStyle w:val="CellTextValue"/>
            </w:pPr>
            <w:r>
              <w:rPr>
                <w:color w:val="000000"/>
              </w:rPr>
              <w:t>The criteria are described in General Annex D.</w:t>
            </w:r>
          </w:p>
        </w:tc>
      </w:tr>
      <w:tr w:rsidR="00401FAE" w14:paraId="004F7438" w14:textId="77777777">
        <w:tc>
          <w:tcPr>
            <w:tcW w:w="0" w:type="auto"/>
          </w:tcPr>
          <w:p w14:paraId="45A2CD68" w14:textId="77777777" w:rsidR="00401FAE" w:rsidRDefault="00787C76">
            <w:pPr>
              <w:pStyle w:val="CellTextValue"/>
              <w:jc w:val="left"/>
            </w:pPr>
            <w:r>
              <w:rPr>
                <w:i/>
              </w:rPr>
              <w:t>Documents</w:t>
            </w:r>
          </w:p>
        </w:tc>
        <w:tc>
          <w:tcPr>
            <w:tcW w:w="0" w:type="auto"/>
          </w:tcPr>
          <w:p w14:paraId="11AEF73C" w14:textId="77777777" w:rsidR="00401FAE" w:rsidRDefault="00787C76">
            <w:pPr>
              <w:pStyle w:val="CellTextValue"/>
            </w:pPr>
            <w:r>
              <w:rPr>
                <w:color w:val="000000"/>
              </w:rPr>
              <w:t>The documents are described in General Annex E.</w:t>
            </w:r>
          </w:p>
        </w:tc>
      </w:tr>
      <w:tr w:rsidR="00401FAE" w14:paraId="479C4CD6" w14:textId="77777777">
        <w:tc>
          <w:tcPr>
            <w:tcW w:w="0" w:type="auto"/>
          </w:tcPr>
          <w:p w14:paraId="032A3D66" w14:textId="77777777" w:rsidR="00401FAE" w:rsidRDefault="00787C76">
            <w:pPr>
              <w:pStyle w:val="CellTextValue"/>
              <w:jc w:val="left"/>
            </w:pPr>
            <w:r>
              <w:rPr>
                <w:i/>
              </w:rPr>
              <w:t>Procedure</w:t>
            </w:r>
          </w:p>
        </w:tc>
        <w:tc>
          <w:tcPr>
            <w:tcW w:w="0" w:type="auto"/>
          </w:tcPr>
          <w:p w14:paraId="06821640" w14:textId="77777777" w:rsidR="00401FAE" w:rsidRDefault="00787C76">
            <w:pPr>
              <w:pStyle w:val="CellTextValue"/>
            </w:pPr>
            <w:r>
              <w:rPr>
                <w:color w:val="000000"/>
              </w:rPr>
              <w:t>The procedure is described in General Annex F.</w:t>
            </w:r>
          </w:p>
        </w:tc>
      </w:tr>
      <w:tr w:rsidR="00401FAE" w14:paraId="32AEE919" w14:textId="77777777">
        <w:tc>
          <w:tcPr>
            <w:tcW w:w="0" w:type="auto"/>
          </w:tcPr>
          <w:p w14:paraId="523C7F27" w14:textId="77777777" w:rsidR="00401FAE" w:rsidRDefault="00787C76">
            <w:pPr>
              <w:pStyle w:val="CellTextValue"/>
              <w:jc w:val="left"/>
            </w:pPr>
            <w:r>
              <w:rPr>
                <w:i/>
              </w:rPr>
              <w:t>Legal and financial set-up of the Grant Agreements</w:t>
            </w:r>
          </w:p>
        </w:tc>
        <w:tc>
          <w:tcPr>
            <w:tcW w:w="0" w:type="auto"/>
          </w:tcPr>
          <w:p w14:paraId="75E6CF62" w14:textId="77777777" w:rsidR="00401FAE" w:rsidRDefault="00787C76">
            <w:pPr>
              <w:pStyle w:val="CellTextValue"/>
            </w:pPr>
            <w:r>
              <w:rPr>
                <w:color w:val="000000"/>
              </w:rPr>
              <w:t>The rules are described in General Annex G.</w:t>
            </w:r>
          </w:p>
        </w:tc>
      </w:tr>
    </w:tbl>
    <w:p w14:paraId="7B313FB7" w14:textId="77777777" w:rsidR="00401FAE" w:rsidRDefault="00401FAE">
      <w:pPr>
        <w:spacing w:after="0" w:line="150" w:lineRule="auto"/>
      </w:pPr>
    </w:p>
    <w:p w14:paraId="2B66554E" w14:textId="77777777" w:rsidR="00401FAE" w:rsidRDefault="00787C76">
      <w:r>
        <w:t>Proposals are invited against the following topic(s):</w:t>
      </w:r>
    </w:p>
    <w:p w14:paraId="0FE354B3" w14:textId="77777777" w:rsidR="00401FAE" w:rsidRDefault="00787C76">
      <w:pPr>
        <w:pStyle w:val="HeadingThree"/>
      </w:pPr>
      <w:bookmarkStart w:id="25" w:name="_Toc69807959"/>
      <w:r>
        <w:t>HORIZON-MISS-2021-COOR-01-01: Coordination of complementary actions for missions</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787C76" w14:paraId="5292D502" w14:textId="77777777" w:rsidTr="00787C76">
        <w:tc>
          <w:tcPr>
            <w:tcW w:w="0" w:type="auto"/>
            <w:gridSpan w:val="2"/>
          </w:tcPr>
          <w:p w14:paraId="1F3515D2" w14:textId="77777777" w:rsidR="00401FAE" w:rsidRDefault="00787C76">
            <w:pPr>
              <w:pStyle w:val="CellTextValue"/>
            </w:pPr>
            <w:r>
              <w:rPr>
                <w:b/>
              </w:rPr>
              <w:t>Specific conditions</w:t>
            </w:r>
          </w:p>
        </w:tc>
      </w:tr>
      <w:tr w:rsidR="00401FAE" w14:paraId="035AD1BD" w14:textId="77777777">
        <w:tc>
          <w:tcPr>
            <w:tcW w:w="0" w:type="auto"/>
          </w:tcPr>
          <w:p w14:paraId="66027EA6" w14:textId="77777777" w:rsidR="00401FAE" w:rsidRDefault="00787C76">
            <w:pPr>
              <w:pStyle w:val="CellTextValue"/>
              <w:jc w:val="left"/>
            </w:pPr>
            <w:r>
              <w:rPr>
                <w:i/>
              </w:rPr>
              <w:t>Expected EU contribution per project</w:t>
            </w:r>
          </w:p>
        </w:tc>
        <w:tc>
          <w:tcPr>
            <w:tcW w:w="0" w:type="auto"/>
          </w:tcPr>
          <w:p w14:paraId="08C186BE" w14:textId="77777777" w:rsidR="00401FAE" w:rsidRDefault="00787C76">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401FAE" w14:paraId="7746D860" w14:textId="77777777">
        <w:tc>
          <w:tcPr>
            <w:tcW w:w="0" w:type="auto"/>
          </w:tcPr>
          <w:p w14:paraId="4E2CE14D" w14:textId="77777777" w:rsidR="00401FAE" w:rsidRDefault="00787C76">
            <w:pPr>
              <w:pStyle w:val="CellTextValue"/>
              <w:jc w:val="left"/>
            </w:pPr>
            <w:r>
              <w:rPr>
                <w:i/>
              </w:rPr>
              <w:t>Indicative budget</w:t>
            </w:r>
          </w:p>
        </w:tc>
        <w:tc>
          <w:tcPr>
            <w:tcW w:w="0" w:type="auto"/>
          </w:tcPr>
          <w:p w14:paraId="2ACC362B" w14:textId="77777777" w:rsidR="00401FAE" w:rsidRDefault="00787C76">
            <w:pPr>
              <w:pStyle w:val="CellTextValue"/>
            </w:pPr>
            <w:r>
              <w:t>The total indicative budget for the topic is EUR 2.00 million.</w:t>
            </w:r>
          </w:p>
        </w:tc>
      </w:tr>
      <w:tr w:rsidR="00401FAE" w14:paraId="15444C7E" w14:textId="77777777">
        <w:tc>
          <w:tcPr>
            <w:tcW w:w="0" w:type="auto"/>
          </w:tcPr>
          <w:p w14:paraId="73E7C306" w14:textId="77777777" w:rsidR="00401FAE" w:rsidRDefault="00787C76">
            <w:pPr>
              <w:pStyle w:val="CellTextValue"/>
              <w:jc w:val="left"/>
            </w:pPr>
            <w:r>
              <w:rPr>
                <w:i/>
              </w:rPr>
              <w:t>Type of Action</w:t>
            </w:r>
          </w:p>
        </w:tc>
        <w:tc>
          <w:tcPr>
            <w:tcW w:w="0" w:type="auto"/>
          </w:tcPr>
          <w:p w14:paraId="1D31A99A" w14:textId="77777777" w:rsidR="00401FAE" w:rsidRDefault="00787C76">
            <w:pPr>
              <w:pStyle w:val="CellTextValue"/>
            </w:pPr>
            <w:r>
              <w:rPr>
                <w:color w:val="000000"/>
              </w:rPr>
              <w:t>Coordination and Support Actions</w:t>
            </w:r>
          </w:p>
        </w:tc>
      </w:tr>
    </w:tbl>
    <w:p w14:paraId="7837458D" w14:textId="77777777" w:rsidR="00401FAE" w:rsidRDefault="00401FAE">
      <w:pPr>
        <w:spacing w:after="0" w:line="150" w:lineRule="auto"/>
      </w:pPr>
    </w:p>
    <w:p w14:paraId="7B7432DF" w14:textId="77777777" w:rsidR="00401FAE" w:rsidRDefault="00787C76">
      <w:r>
        <w:rPr>
          <w:u w:val="single"/>
        </w:rPr>
        <w:t>Expected Outcome</w:t>
      </w:r>
      <w:r>
        <w:t xml:space="preserve">: </w:t>
      </w:r>
      <w:r>
        <w:rPr>
          <w:color w:val="000000"/>
        </w:rPr>
        <w:t>Project results are expected to contribute the following expected outcomes:</w:t>
      </w:r>
    </w:p>
    <w:p w14:paraId="33D09092" w14:textId="77777777" w:rsidR="00401FAE" w:rsidRDefault="00787C76" w:rsidP="00787C76">
      <w:pPr>
        <w:pStyle w:val="Paragraphedeliste"/>
        <w:numPr>
          <w:ilvl w:val="0"/>
          <w:numId w:val="26"/>
        </w:numPr>
      </w:pPr>
      <w:r>
        <w:rPr>
          <w:color w:val="000000"/>
        </w:rPr>
        <w:t>Cooperation between national officials on implementation modalities of complementary actions across the European Union and Associated Countries;</w:t>
      </w:r>
    </w:p>
    <w:p w14:paraId="6346F8BE" w14:textId="77777777" w:rsidR="00401FAE" w:rsidRDefault="00787C76" w:rsidP="00787C76">
      <w:pPr>
        <w:pStyle w:val="Paragraphedeliste"/>
        <w:numPr>
          <w:ilvl w:val="0"/>
          <w:numId w:val="26"/>
        </w:numPr>
      </w:pPr>
      <w:r>
        <w:rPr>
          <w:color w:val="000000"/>
        </w:rPr>
        <w:t>Appropriate mechanisms are in place to facilitate the multi-level deployment of complementary actions for missions;</w:t>
      </w:r>
    </w:p>
    <w:p w14:paraId="34C18AB5" w14:textId="77777777" w:rsidR="00401FAE" w:rsidRDefault="00787C76" w:rsidP="00787C76">
      <w:pPr>
        <w:pStyle w:val="Paragraphedeliste"/>
        <w:numPr>
          <w:ilvl w:val="0"/>
          <w:numId w:val="26"/>
        </w:numPr>
      </w:pPr>
      <w:r>
        <w:rPr>
          <w:color w:val="000000"/>
        </w:rPr>
        <w:t xml:space="preserve">A common vision on the achievement of missions objectives is shared at a national, regional and local level across the European Union and Associated Countries.  </w:t>
      </w:r>
    </w:p>
    <w:p w14:paraId="7FF31AFD" w14:textId="77777777" w:rsidR="00401FAE" w:rsidRDefault="00787C76">
      <w:r>
        <w:rPr>
          <w:u w:val="single"/>
        </w:rPr>
        <w:t>Scope</w:t>
      </w:r>
      <w:r>
        <w:t xml:space="preserve">: </w:t>
      </w:r>
      <w:r>
        <w:rPr>
          <w:color w:val="000000"/>
        </w:rPr>
        <w:t xml:space="preserve">This action aims to foster cooperation and coordination between EU-level actions and complementary national, regional and local actions in support of the implementation of missions. </w:t>
      </w:r>
    </w:p>
    <w:p w14:paraId="2C5F68ED" w14:textId="77777777" w:rsidR="00401FAE" w:rsidRDefault="00787C76">
      <w:r>
        <w:rPr>
          <w:color w:val="000000"/>
        </w:rPr>
        <w:t xml:space="preserve">The mission concept aims to deliver societal impact. The missions will require commitment and a sense of ownership across the European Union. The support of Member States and Associated Countries, regional and local actors and actions that are complementary to EU level action is needed to deliver on the envisaged societal impacts of missions. </w:t>
      </w:r>
    </w:p>
    <w:p w14:paraId="6349203E" w14:textId="77777777" w:rsidR="00401FAE" w:rsidRDefault="00787C76">
      <w:r>
        <w:rPr>
          <w:color w:val="000000"/>
        </w:rPr>
        <w:t>This action should also leverage opportunities raised by the digital transition. It should enhance the missions’ potential for rapid testing, piloting, demonstrating, scaling up and de-risking of large place-based R&amp;I projects/initiatives, after the conclusions of their preparatory phase</w:t>
      </w:r>
      <w:r>
        <w:rPr>
          <w:vertAlign w:val="superscript"/>
        </w:rPr>
        <w:footnoteReference w:id="85"/>
      </w:r>
      <w:r>
        <w:rPr>
          <w:color w:val="000000"/>
        </w:rPr>
        <w:t>.</w:t>
      </w:r>
    </w:p>
    <w:p w14:paraId="0766C3B1" w14:textId="77777777" w:rsidR="00401FAE" w:rsidRDefault="00787C76">
      <w:r>
        <w:rPr>
          <w:color w:val="000000"/>
        </w:rPr>
        <w:t>The above described expected outcome and scope should be achieved by establishing a Missions Core Network that will:</w:t>
      </w:r>
    </w:p>
    <w:p w14:paraId="0C6E16A0" w14:textId="77777777" w:rsidR="00401FAE" w:rsidRDefault="00787C76" w:rsidP="00787C76">
      <w:pPr>
        <w:pStyle w:val="Paragraphedeliste"/>
        <w:numPr>
          <w:ilvl w:val="0"/>
          <w:numId w:val="27"/>
        </w:numPr>
      </w:pPr>
      <w:r>
        <w:rPr>
          <w:color w:val="000000"/>
        </w:rPr>
        <w:t xml:space="preserve">Support alignment and where possible coordination between national, regional and local initiatives for the implementation of missions; </w:t>
      </w:r>
    </w:p>
    <w:p w14:paraId="7666A9E0" w14:textId="77777777" w:rsidR="00401FAE" w:rsidRDefault="00787C76" w:rsidP="00787C76">
      <w:pPr>
        <w:pStyle w:val="Paragraphedeliste"/>
        <w:numPr>
          <w:ilvl w:val="0"/>
          <w:numId w:val="27"/>
        </w:numPr>
      </w:pPr>
      <w:r>
        <w:rPr>
          <w:color w:val="000000"/>
        </w:rPr>
        <w:t xml:space="preserve">Exchange best practice on how complementary national, regional and local efforts and related funding can contribute to missions objectives; </w:t>
      </w:r>
    </w:p>
    <w:p w14:paraId="5B8FE797" w14:textId="77777777" w:rsidR="00401FAE" w:rsidRDefault="00787C76" w:rsidP="00787C76">
      <w:pPr>
        <w:pStyle w:val="Paragraphedeliste"/>
        <w:numPr>
          <w:ilvl w:val="0"/>
          <w:numId w:val="27"/>
        </w:numPr>
      </w:pPr>
      <w:r>
        <w:rPr>
          <w:color w:val="000000"/>
        </w:rPr>
        <w:t>Facilitate engagement of regional and local actors in support of EU-level activities or complementary national activities in support of the implementation of missions;</w:t>
      </w:r>
    </w:p>
    <w:p w14:paraId="3AB47761" w14:textId="77777777" w:rsidR="00401FAE" w:rsidRDefault="00787C76" w:rsidP="00787C76">
      <w:pPr>
        <w:pStyle w:val="Paragraphedeliste"/>
        <w:numPr>
          <w:ilvl w:val="0"/>
          <w:numId w:val="27"/>
        </w:numPr>
      </w:pPr>
      <w:r>
        <w:rPr>
          <w:color w:val="000000"/>
        </w:rPr>
        <w:t>Map the relevant national, regional and local, stakeholders, civil society organisations and institutions, which are key actors to support the implementation of missions and can support delivery of their objectives.</w:t>
      </w:r>
    </w:p>
    <w:p w14:paraId="385490D1" w14:textId="77777777" w:rsidR="00401FAE" w:rsidRDefault="00787C76" w:rsidP="00787C76">
      <w:pPr>
        <w:pStyle w:val="Paragraphedeliste"/>
        <w:numPr>
          <w:ilvl w:val="0"/>
          <w:numId w:val="27"/>
        </w:numPr>
      </w:pPr>
      <w:r>
        <w:rPr>
          <w:color w:val="000000"/>
        </w:rPr>
        <w:t>Map different existing funding streams – both at EU and national or global level (including private sector investments) and explore their mobilisation and possible combining in support of mission implementation;</w:t>
      </w:r>
    </w:p>
    <w:p w14:paraId="1F446DD5" w14:textId="77777777" w:rsidR="00401FAE" w:rsidRDefault="00787C76" w:rsidP="00787C76">
      <w:pPr>
        <w:pStyle w:val="Paragraphedeliste"/>
        <w:numPr>
          <w:ilvl w:val="0"/>
          <w:numId w:val="27"/>
        </w:numPr>
      </w:pPr>
      <w:r>
        <w:rPr>
          <w:color w:val="000000"/>
        </w:rPr>
        <w:t>Prepare for potential hubs at national level. The core network will have the role of advising the specific mission hubs, as missions will need new implementation modalities. Each mission specific hub will be linked to this cross-cutting network.</w:t>
      </w:r>
    </w:p>
    <w:p w14:paraId="1F3637EF" w14:textId="77777777" w:rsidR="00401FAE" w:rsidRDefault="00787C76" w:rsidP="00787C76">
      <w:pPr>
        <w:pStyle w:val="Paragraphedeliste"/>
        <w:numPr>
          <w:ilvl w:val="0"/>
          <w:numId w:val="27"/>
        </w:numPr>
      </w:pPr>
      <w:r>
        <w:rPr>
          <w:color w:val="000000"/>
        </w:rPr>
        <w:t xml:space="preserve">Develop the basis for a governance model supporting the coordination of complementary actions to implement the missions.  </w:t>
      </w:r>
    </w:p>
    <w:p w14:paraId="7E0C7E19" w14:textId="77777777" w:rsidR="00401FAE" w:rsidRDefault="00787C76">
      <w:r>
        <w:rPr>
          <w:color w:val="000000"/>
        </w:rPr>
        <w:t>The consortium should include organisations capable of coordinating national level representatives (e.g. representative from relevant Ministries or national agencies, academia) and relevant regional and local actors (e.g. representatives from city councils).</w:t>
      </w:r>
    </w:p>
    <w:p w14:paraId="404E80B7" w14:textId="77777777" w:rsidR="00401FAE" w:rsidRDefault="00787C76">
      <w:r>
        <w:rPr>
          <w:color w:val="000000"/>
        </w:rPr>
        <w:t>The network should also deliver specific events, in consultation with the European Commission:</w:t>
      </w:r>
    </w:p>
    <w:p w14:paraId="1EACBB3C" w14:textId="77777777" w:rsidR="00401FAE" w:rsidRDefault="00787C76" w:rsidP="00787C76">
      <w:pPr>
        <w:pStyle w:val="Paragraphedeliste"/>
        <w:numPr>
          <w:ilvl w:val="0"/>
          <w:numId w:val="28"/>
        </w:numPr>
      </w:pPr>
      <w:r>
        <w:rPr>
          <w:b/>
          <w:color w:val="000000"/>
        </w:rPr>
        <w:t>‘Meet &amp; Monitor, Missions’</w:t>
      </w:r>
      <w:r>
        <w:rPr>
          <w:color w:val="000000"/>
        </w:rPr>
        <w:t xml:space="preserve"> event as part of citizen engagement and supported through the coordination network;</w:t>
      </w:r>
    </w:p>
    <w:p w14:paraId="63979C99" w14:textId="77777777" w:rsidR="00401FAE" w:rsidRDefault="00787C76" w:rsidP="00787C76">
      <w:pPr>
        <w:pStyle w:val="Paragraphedeliste"/>
        <w:numPr>
          <w:ilvl w:val="0"/>
          <w:numId w:val="28"/>
        </w:numPr>
      </w:pPr>
      <w:r>
        <w:rPr>
          <w:b/>
          <w:color w:val="000000"/>
        </w:rPr>
        <w:t xml:space="preserve">‘Annual missions innovation fair’ </w:t>
      </w:r>
      <w:r>
        <w:rPr>
          <w:color w:val="000000"/>
        </w:rPr>
        <w:t xml:space="preserve">– gathering relevant stakeholders such as ERC, EIC grantees, industry, charities, EIB, among others to meet around mission-specific thematic areas.  </w:t>
      </w:r>
    </w:p>
    <w:p w14:paraId="4A5F9570" w14:textId="77777777" w:rsidR="00401FAE" w:rsidRDefault="00787C76">
      <w:r>
        <w:rPr>
          <w:color w:val="000000"/>
        </w:rPr>
        <w:t xml:space="preserve">​These actions should be developed in close coordination with the European Commission. The European Commission will identify targets for the specific missions, after assessment, and will communicate the specific missions to the Missions Core Network. The European Commission should be an active member of the Missions Core Network. </w:t>
      </w:r>
    </w:p>
    <w:p w14:paraId="4FF4CD31" w14:textId="77777777" w:rsidR="00401FAE" w:rsidRDefault="00787C76">
      <w:r>
        <w:rPr>
          <w:color w:val="000000"/>
        </w:rPr>
        <w:t xml:space="preserve">The European Committee of the Regions and the European Economic and Social Committee should be closely associated to these activities as sources of reflection. </w:t>
      </w:r>
    </w:p>
    <w:p w14:paraId="7D70B307" w14:textId="77777777" w:rsidR="00401FAE" w:rsidRDefault="00787C76">
      <w:pPr>
        <w:pStyle w:val="HeadingOne"/>
        <w:pageBreakBefore/>
      </w:pPr>
      <w:bookmarkStart w:id="26" w:name="_Toc69807960"/>
      <w:r>
        <w:t>Destination: Deployment of NEB lighthouse demonstrators in the context of missions</w:t>
      </w:r>
      <w:bookmarkEnd w:id="26"/>
    </w:p>
    <w:p w14:paraId="679118C3" w14:textId="77777777" w:rsidR="00401FAE" w:rsidRDefault="00787C76">
      <w:r>
        <w:rPr>
          <w:color w:val="000000"/>
        </w:rPr>
        <w:t>The New European Bauhaus (NEB) initiative wants to make the European Green Deal a cultural, human-centred, positive and tangible experience. It aims to improve how we live together in the built environment</w:t>
      </w:r>
      <w:r>
        <w:rPr>
          <w:vertAlign w:val="superscript"/>
        </w:rPr>
        <w:footnoteReference w:id="86"/>
      </w:r>
      <w:r>
        <w:rPr>
          <w:color w:val="000000"/>
        </w:rPr>
        <w:t>, by fostering innovative solutions that articulate the three NEB core principles of sustainability, aesthetics and inclusion. Horizon Europe missions aim to solve major environmental and societal challenges using ambitious, creative, inclusive and interdisciplinary solutions, bringing the European Green Deal closer to citizens.</w:t>
      </w:r>
    </w:p>
    <w:p w14:paraId="446FEF8B" w14:textId="77777777" w:rsidR="00401FAE" w:rsidRDefault="00787C76">
      <w:r>
        <w:rPr>
          <w:color w:val="000000"/>
        </w:rPr>
        <w:t>Missions share many objectives with the NEB initiative. Through a mutually supportive relationship, the NEB and the missions will collaborate on key shared challenges. Missions are ambitious and daring, closely involve stakeholders and citizens, and aim to produce public goods on a European scale. There are therefore numerous similarities with the NEB initiative. The goal is to launch five lighthouse demonstrators for the NEB initiative, providing valuable lessons and knowledge for the missions’ deployment.</w:t>
      </w:r>
    </w:p>
    <w:p w14:paraId="15458742" w14:textId="77777777" w:rsidR="00401FAE" w:rsidRDefault="00787C76">
      <w:r>
        <w:rPr>
          <w:color w:val="000000"/>
        </w:rPr>
        <w:t>This destination will showcase how a co-design process, with architecture, design and culture at its core, can deliver highly innovative solutions to address environmental and societal challenges at the territorial level.</w:t>
      </w:r>
    </w:p>
    <w:p w14:paraId="2762A7B3" w14:textId="77777777" w:rsidR="00401FAE" w:rsidRDefault="00787C76">
      <w:r>
        <w:rPr>
          <w:color w:val="000000"/>
        </w:rPr>
        <w:t>Proposals for the topic under this Destination should set out a credible pathway to contributing to the Destination’s goal, and more specifically to all the following impacts:</w:t>
      </w:r>
    </w:p>
    <w:p w14:paraId="0EC844C3" w14:textId="77777777" w:rsidR="00401FAE" w:rsidRDefault="00787C76" w:rsidP="00787C76">
      <w:pPr>
        <w:pStyle w:val="Paragraphedeliste"/>
        <w:numPr>
          <w:ilvl w:val="0"/>
          <w:numId w:val="29"/>
        </w:numPr>
      </w:pPr>
      <w:r>
        <w:rPr>
          <w:color w:val="000000"/>
        </w:rPr>
        <w:t>Strengthen connections between the missions and the NEB on key environmental and societal challenges;</w:t>
      </w:r>
    </w:p>
    <w:p w14:paraId="3402B24D" w14:textId="77777777" w:rsidR="00401FAE" w:rsidRDefault="00787C76" w:rsidP="00787C76">
      <w:pPr>
        <w:pStyle w:val="Paragraphedeliste"/>
        <w:numPr>
          <w:ilvl w:val="0"/>
          <w:numId w:val="29"/>
        </w:numPr>
      </w:pPr>
      <w:r>
        <w:rPr>
          <w:color w:val="000000"/>
        </w:rPr>
        <w:t>Increased preparedness for mission implementation in a multi-level and multidisciplinary approach;</w:t>
      </w:r>
    </w:p>
    <w:p w14:paraId="667EF60F" w14:textId="77777777" w:rsidR="00401FAE" w:rsidRDefault="00787C76" w:rsidP="00787C76">
      <w:pPr>
        <w:pStyle w:val="Paragraphedeliste"/>
        <w:numPr>
          <w:ilvl w:val="0"/>
          <w:numId w:val="29"/>
        </w:numPr>
      </w:pPr>
      <w:r>
        <w:rPr>
          <w:color w:val="000000"/>
        </w:rPr>
        <w:t xml:space="preserve">Demonstrate the benefit of applying an NEB approach (combining sustainability with aesthetics and inclusion) to territorial transformation.  </w:t>
      </w:r>
    </w:p>
    <w:p w14:paraId="2FB27F3B" w14:textId="77777777" w:rsidR="00401FAE" w:rsidRDefault="00787C76">
      <w:r>
        <w:rPr>
          <w:color w:val="000000"/>
        </w:rPr>
        <w:t>The following call(s) in this work programme contribute to this mission: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2000"/>
        <w:gridCol w:w="1390"/>
      </w:tblGrid>
      <w:tr w:rsidR="00401FAE" w14:paraId="1BE28519" w14:textId="77777777">
        <w:tc>
          <w:tcPr>
            <w:tcW w:w="0" w:type="auto"/>
            <w:vMerge w:val="restart"/>
          </w:tcPr>
          <w:p w14:paraId="6DC7D5D8" w14:textId="77777777" w:rsidR="00401FAE" w:rsidRDefault="00787C76">
            <w:pPr>
              <w:pStyle w:val="CellHeaderTextValue"/>
            </w:pPr>
            <w:r>
              <w:t>Call</w:t>
            </w:r>
          </w:p>
        </w:tc>
        <w:tc>
          <w:tcPr>
            <w:tcW w:w="0" w:type="auto"/>
          </w:tcPr>
          <w:p w14:paraId="2663B063" w14:textId="77777777" w:rsidR="00401FAE" w:rsidRDefault="00787C76">
            <w:pPr>
              <w:pStyle w:val="CellHeaderTextValue"/>
            </w:pPr>
            <w:r>
              <w:t>Budgets (EUR million)</w:t>
            </w:r>
          </w:p>
        </w:tc>
        <w:tc>
          <w:tcPr>
            <w:tcW w:w="0" w:type="auto"/>
            <w:vMerge w:val="restart"/>
          </w:tcPr>
          <w:p w14:paraId="5972959D" w14:textId="77777777" w:rsidR="00401FAE" w:rsidRDefault="00787C76">
            <w:pPr>
              <w:pStyle w:val="CellHeaderTextValue"/>
            </w:pPr>
            <w:r>
              <w:t>Deadline(s)</w:t>
            </w:r>
          </w:p>
        </w:tc>
      </w:tr>
      <w:tr w:rsidR="00401FAE" w14:paraId="4F85A370" w14:textId="77777777">
        <w:tc>
          <w:tcPr>
            <w:tcW w:w="0" w:type="auto"/>
            <w:vMerge/>
          </w:tcPr>
          <w:p w14:paraId="5C18DA7C" w14:textId="77777777" w:rsidR="00401FAE" w:rsidRDefault="00401FAE"/>
        </w:tc>
        <w:tc>
          <w:tcPr>
            <w:tcW w:w="2000" w:type="dxa"/>
          </w:tcPr>
          <w:p w14:paraId="4082AF0C" w14:textId="77777777" w:rsidR="00401FAE" w:rsidRDefault="00787C76">
            <w:pPr>
              <w:pStyle w:val="CellHeaderTextValue"/>
            </w:pPr>
            <w:r>
              <w:t>2021</w:t>
            </w:r>
          </w:p>
        </w:tc>
        <w:tc>
          <w:tcPr>
            <w:tcW w:w="0" w:type="auto"/>
            <w:vMerge/>
          </w:tcPr>
          <w:p w14:paraId="70823DB1" w14:textId="77777777" w:rsidR="00401FAE" w:rsidRDefault="00401FAE"/>
        </w:tc>
      </w:tr>
      <w:tr w:rsidR="00401FAE" w14:paraId="7A26AC02" w14:textId="77777777">
        <w:tc>
          <w:tcPr>
            <w:tcW w:w="0" w:type="auto"/>
          </w:tcPr>
          <w:p w14:paraId="54DBEE81" w14:textId="77777777" w:rsidR="00401FAE" w:rsidRDefault="00787C76">
            <w:pPr>
              <w:pStyle w:val="CellTextValue"/>
            </w:pPr>
            <w:r>
              <w:t>HORIZON-MISS-2021-NEB-01</w:t>
            </w:r>
          </w:p>
        </w:tc>
        <w:tc>
          <w:tcPr>
            <w:tcW w:w="0" w:type="auto"/>
          </w:tcPr>
          <w:p w14:paraId="1459BD82" w14:textId="77777777" w:rsidR="00401FAE" w:rsidRDefault="00787C76">
            <w:pPr>
              <w:pStyle w:val="CellTextValue"/>
            </w:pPr>
            <w:r>
              <w:t>25.00</w:t>
            </w:r>
          </w:p>
        </w:tc>
        <w:tc>
          <w:tcPr>
            <w:tcW w:w="0" w:type="auto"/>
          </w:tcPr>
          <w:p w14:paraId="51C7D441" w14:textId="77777777" w:rsidR="00401FAE" w:rsidRDefault="00787C76">
            <w:pPr>
              <w:pStyle w:val="CellTextValue"/>
            </w:pPr>
            <w:r>
              <w:t>25 Jan 2022</w:t>
            </w:r>
          </w:p>
        </w:tc>
      </w:tr>
      <w:tr w:rsidR="00401FAE" w14:paraId="12053AD8" w14:textId="77777777">
        <w:tc>
          <w:tcPr>
            <w:tcW w:w="0" w:type="auto"/>
          </w:tcPr>
          <w:p w14:paraId="38A1C63B" w14:textId="77777777" w:rsidR="00401FAE" w:rsidRDefault="00787C76">
            <w:pPr>
              <w:pStyle w:val="CellTextValue"/>
            </w:pPr>
            <w:r>
              <w:t>Overall indicative budget</w:t>
            </w:r>
          </w:p>
        </w:tc>
        <w:tc>
          <w:tcPr>
            <w:tcW w:w="0" w:type="auto"/>
          </w:tcPr>
          <w:p w14:paraId="313EA8DD" w14:textId="77777777" w:rsidR="00401FAE" w:rsidRDefault="00787C76">
            <w:pPr>
              <w:pStyle w:val="CellTextValue"/>
            </w:pPr>
            <w:r>
              <w:t>25.00</w:t>
            </w:r>
          </w:p>
        </w:tc>
        <w:tc>
          <w:tcPr>
            <w:tcW w:w="0" w:type="auto"/>
          </w:tcPr>
          <w:p w14:paraId="4BE1018C" w14:textId="77777777" w:rsidR="00401FAE" w:rsidRDefault="00401FAE"/>
        </w:tc>
      </w:tr>
    </w:tbl>
    <w:p w14:paraId="6DAF21EB" w14:textId="77777777" w:rsidR="00401FAE" w:rsidRDefault="00401FAE">
      <w:pPr>
        <w:spacing w:after="0" w:line="150" w:lineRule="auto"/>
      </w:pPr>
    </w:p>
    <w:p w14:paraId="72B53013" w14:textId="77777777" w:rsidR="00401FAE" w:rsidRDefault="00401FAE">
      <w:pPr>
        <w:pageBreakBefore/>
      </w:pPr>
    </w:p>
    <w:p w14:paraId="2C0244E9" w14:textId="77777777" w:rsidR="00401FAE" w:rsidRDefault="00787C76">
      <w:pPr>
        <w:pStyle w:val="HeadingTwo"/>
      </w:pPr>
      <w:bookmarkStart w:id="27" w:name="_Toc69807961"/>
      <w:r>
        <w:t>Call - Support the deployment of lighthouse demonstrators for the New European Bauhaus initiative in the context of Horizon Europe missions</w:t>
      </w:r>
      <w:bookmarkEnd w:id="27"/>
    </w:p>
    <w:p w14:paraId="6E1A69CC" w14:textId="77777777" w:rsidR="00401FAE" w:rsidRDefault="00787C76">
      <w:pPr>
        <w:pStyle w:val="CallIdentifier"/>
      </w:pPr>
      <w:r>
        <w:t>HORIZON-MISS-2021-NEB-01</w:t>
      </w:r>
    </w:p>
    <w:p w14:paraId="06599812" w14:textId="77777777" w:rsidR="00401FAE" w:rsidRDefault="00787C76">
      <w:pPr>
        <w:pStyle w:val="HeadingThree"/>
      </w:pPr>
      <w:bookmarkStart w:id="28" w:name="_Toc69807962"/>
      <w:r>
        <w:t>Conditions for the Call</w:t>
      </w:r>
      <w:bookmarkEnd w:id="28"/>
    </w:p>
    <w:p w14:paraId="362B9FD0" w14:textId="77777777" w:rsidR="00401FAE" w:rsidRDefault="00787C76">
      <w:r>
        <w:rPr>
          <w:u w:val="single"/>
        </w:rPr>
        <w:t>Indicative budget(s)</w:t>
      </w:r>
      <w:r>
        <w:rPr>
          <w:vertAlign w:val="superscript"/>
        </w:rPr>
        <w:footnoteReference w:id="8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10"/>
        <w:gridCol w:w="884"/>
        <w:gridCol w:w="1275"/>
        <w:gridCol w:w="2120"/>
        <w:gridCol w:w="1083"/>
      </w:tblGrid>
      <w:tr w:rsidR="00401FAE" w14:paraId="387EBA58" w14:textId="77777777">
        <w:tc>
          <w:tcPr>
            <w:tcW w:w="2000" w:type="dxa"/>
            <w:vMerge w:val="restart"/>
          </w:tcPr>
          <w:p w14:paraId="429ECE05" w14:textId="77777777" w:rsidR="00401FAE" w:rsidRDefault="00787C76">
            <w:pPr>
              <w:pStyle w:val="CellHeaderTextValue"/>
            </w:pPr>
            <w:r>
              <w:t>Topics</w:t>
            </w:r>
          </w:p>
        </w:tc>
        <w:tc>
          <w:tcPr>
            <w:tcW w:w="800" w:type="dxa"/>
            <w:vMerge w:val="restart"/>
          </w:tcPr>
          <w:p w14:paraId="61527F63" w14:textId="77777777" w:rsidR="00401FAE" w:rsidRDefault="00787C76">
            <w:pPr>
              <w:pStyle w:val="CellHeaderTextValue"/>
            </w:pPr>
            <w:r>
              <w:t>Type of Action</w:t>
            </w:r>
          </w:p>
        </w:tc>
        <w:tc>
          <w:tcPr>
            <w:tcW w:w="0" w:type="auto"/>
          </w:tcPr>
          <w:p w14:paraId="34EDF68C" w14:textId="77777777" w:rsidR="00401FAE" w:rsidRDefault="00787C76">
            <w:pPr>
              <w:pStyle w:val="CellHeaderTextValue"/>
            </w:pPr>
            <w:r>
              <w:t>Budgets (EUR million)</w:t>
            </w:r>
          </w:p>
        </w:tc>
        <w:tc>
          <w:tcPr>
            <w:tcW w:w="0" w:type="auto"/>
            <w:vMerge w:val="restart"/>
          </w:tcPr>
          <w:p w14:paraId="28181CD2" w14:textId="77777777" w:rsidR="00401FAE" w:rsidRDefault="00787C76">
            <w:pPr>
              <w:pStyle w:val="CellHeaderTextValue"/>
            </w:pPr>
            <w:r>
              <w:t>Expected EU contribution per project (EUR million)</w:t>
            </w:r>
            <w:r>
              <w:rPr>
                <w:vertAlign w:val="superscript"/>
              </w:rPr>
              <w:footnoteReference w:id="88"/>
            </w:r>
          </w:p>
        </w:tc>
        <w:tc>
          <w:tcPr>
            <w:tcW w:w="800" w:type="dxa"/>
            <w:vMerge w:val="restart"/>
          </w:tcPr>
          <w:p w14:paraId="40167476" w14:textId="77777777" w:rsidR="00401FAE" w:rsidRDefault="00787C76">
            <w:pPr>
              <w:pStyle w:val="CellHeaderTextValue"/>
            </w:pPr>
            <w:r>
              <w:t>Number of projects expected to be funded</w:t>
            </w:r>
          </w:p>
        </w:tc>
      </w:tr>
      <w:tr w:rsidR="00401FAE" w14:paraId="18541E6D" w14:textId="77777777">
        <w:tc>
          <w:tcPr>
            <w:tcW w:w="0" w:type="auto"/>
            <w:vMerge/>
          </w:tcPr>
          <w:p w14:paraId="70BF95E3" w14:textId="77777777" w:rsidR="00401FAE" w:rsidRDefault="00401FAE"/>
        </w:tc>
        <w:tc>
          <w:tcPr>
            <w:tcW w:w="0" w:type="auto"/>
            <w:vMerge/>
          </w:tcPr>
          <w:p w14:paraId="00E61018" w14:textId="77777777" w:rsidR="00401FAE" w:rsidRDefault="00401FAE"/>
        </w:tc>
        <w:tc>
          <w:tcPr>
            <w:tcW w:w="0" w:type="auto"/>
          </w:tcPr>
          <w:p w14:paraId="1504081E" w14:textId="77777777" w:rsidR="00401FAE" w:rsidRDefault="00787C76">
            <w:pPr>
              <w:pStyle w:val="CellHeaderTextValue"/>
            </w:pPr>
            <w:r>
              <w:t>2021</w:t>
            </w:r>
          </w:p>
        </w:tc>
        <w:tc>
          <w:tcPr>
            <w:tcW w:w="0" w:type="auto"/>
            <w:vMerge/>
          </w:tcPr>
          <w:p w14:paraId="56B81E7F" w14:textId="77777777" w:rsidR="00401FAE" w:rsidRDefault="00401FAE"/>
        </w:tc>
        <w:tc>
          <w:tcPr>
            <w:tcW w:w="0" w:type="auto"/>
            <w:vMerge/>
          </w:tcPr>
          <w:p w14:paraId="7076CAEF" w14:textId="77777777" w:rsidR="00401FAE" w:rsidRDefault="00401FAE"/>
        </w:tc>
      </w:tr>
      <w:tr w:rsidR="00787C76" w14:paraId="6F7A8B20" w14:textId="77777777" w:rsidTr="00787C76">
        <w:tc>
          <w:tcPr>
            <w:tcW w:w="0" w:type="auto"/>
            <w:gridSpan w:val="5"/>
          </w:tcPr>
          <w:p w14:paraId="6E1FE8C7" w14:textId="77777777" w:rsidR="00401FAE" w:rsidRDefault="00787C76">
            <w:pPr>
              <w:pStyle w:val="CellTextValue"/>
              <w:jc w:val="center"/>
            </w:pPr>
            <w:r>
              <w:t>Opening: 16 Sep 2021</w:t>
            </w:r>
          </w:p>
          <w:p w14:paraId="59320870" w14:textId="77777777" w:rsidR="00401FAE" w:rsidRDefault="00787C76">
            <w:pPr>
              <w:pStyle w:val="CellTextValue"/>
              <w:jc w:val="center"/>
            </w:pPr>
            <w:r>
              <w:t>Deadline(s): 25 Jan 2022</w:t>
            </w:r>
          </w:p>
        </w:tc>
      </w:tr>
      <w:tr w:rsidR="00401FAE" w14:paraId="1162EF68" w14:textId="77777777">
        <w:tc>
          <w:tcPr>
            <w:tcW w:w="0" w:type="auto"/>
          </w:tcPr>
          <w:p w14:paraId="4B382DAE" w14:textId="77777777" w:rsidR="00401FAE" w:rsidRDefault="00787C76">
            <w:pPr>
              <w:pStyle w:val="CellTextValue"/>
            </w:pPr>
            <w:r>
              <w:t>HORIZON-MISS-2021-NEB-01-01</w:t>
            </w:r>
          </w:p>
        </w:tc>
        <w:tc>
          <w:tcPr>
            <w:tcW w:w="0" w:type="auto"/>
          </w:tcPr>
          <w:p w14:paraId="453D4B25" w14:textId="77777777" w:rsidR="00401FAE" w:rsidRDefault="00787C76">
            <w:pPr>
              <w:pStyle w:val="CellTextValue"/>
            </w:pPr>
            <w:r>
              <w:t>CSA</w:t>
            </w:r>
          </w:p>
        </w:tc>
        <w:tc>
          <w:tcPr>
            <w:tcW w:w="0" w:type="auto"/>
            <w:vMerge w:val="restart"/>
          </w:tcPr>
          <w:p w14:paraId="5B78A999" w14:textId="77777777" w:rsidR="00401FAE" w:rsidRDefault="00787C76">
            <w:pPr>
              <w:pStyle w:val="CellTextValue"/>
            </w:pPr>
            <w:r>
              <w:t xml:space="preserve">25.00 </w:t>
            </w:r>
            <w:r>
              <w:rPr>
                <w:vertAlign w:val="superscript"/>
              </w:rPr>
              <w:footnoteReference w:id="89"/>
            </w:r>
          </w:p>
        </w:tc>
        <w:tc>
          <w:tcPr>
            <w:tcW w:w="0" w:type="auto"/>
          </w:tcPr>
          <w:p w14:paraId="3F0F46A5" w14:textId="77777777" w:rsidR="00401FAE" w:rsidRDefault="00787C76">
            <w:pPr>
              <w:pStyle w:val="CellTextValue"/>
            </w:pPr>
            <w:r>
              <w:t>3.00 to 5.00</w:t>
            </w:r>
          </w:p>
        </w:tc>
        <w:tc>
          <w:tcPr>
            <w:tcW w:w="0" w:type="auto"/>
          </w:tcPr>
          <w:p w14:paraId="48160FA4" w14:textId="77777777" w:rsidR="00401FAE" w:rsidRDefault="00787C76">
            <w:pPr>
              <w:pStyle w:val="CellTextValue"/>
            </w:pPr>
            <w:r>
              <w:t>5</w:t>
            </w:r>
          </w:p>
        </w:tc>
      </w:tr>
      <w:tr w:rsidR="00401FAE" w14:paraId="38A1E175" w14:textId="77777777">
        <w:tc>
          <w:tcPr>
            <w:tcW w:w="0" w:type="auto"/>
          </w:tcPr>
          <w:p w14:paraId="1B8720AE" w14:textId="77777777" w:rsidR="00401FAE" w:rsidRDefault="00787C76">
            <w:pPr>
              <w:pStyle w:val="CellTextValue"/>
            </w:pPr>
            <w:r>
              <w:t>Overall indicative budget</w:t>
            </w:r>
          </w:p>
        </w:tc>
        <w:tc>
          <w:tcPr>
            <w:tcW w:w="0" w:type="auto"/>
          </w:tcPr>
          <w:p w14:paraId="29FD7A05" w14:textId="77777777" w:rsidR="00401FAE" w:rsidRDefault="00401FAE"/>
        </w:tc>
        <w:tc>
          <w:tcPr>
            <w:tcW w:w="0" w:type="auto"/>
          </w:tcPr>
          <w:p w14:paraId="7C3EDE3D" w14:textId="77777777" w:rsidR="00401FAE" w:rsidRDefault="00787C76">
            <w:pPr>
              <w:pStyle w:val="CellTextValue"/>
            </w:pPr>
            <w:r>
              <w:t>25.00</w:t>
            </w:r>
          </w:p>
        </w:tc>
        <w:tc>
          <w:tcPr>
            <w:tcW w:w="0" w:type="auto"/>
          </w:tcPr>
          <w:p w14:paraId="12E0D4DB" w14:textId="77777777" w:rsidR="00401FAE" w:rsidRDefault="00401FAE"/>
        </w:tc>
        <w:tc>
          <w:tcPr>
            <w:tcW w:w="0" w:type="auto"/>
          </w:tcPr>
          <w:p w14:paraId="5652916D" w14:textId="77777777" w:rsidR="00401FAE" w:rsidRDefault="00401FAE"/>
        </w:tc>
      </w:tr>
    </w:tbl>
    <w:p w14:paraId="35531DB2" w14:textId="77777777" w:rsidR="00401FAE" w:rsidRDefault="00401FAE">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787C76" w14:paraId="32D70760" w14:textId="77777777" w:rsidTr="00787C76">
        <w:tc>
          <w:tcPr>
            <w:tcW w:w="0" w:type="auto"/>
            <w:gridSpan w:val="2"/>
          </w:tcPr>
          <w:p w14:paraId="50A7077C" w14:textId="77777777" w:rsidR="00401FAE" w:rsidRDefault="00787C76">
            <w:pPr>
              <w:pStyle w:val="CellTextValue"/>
            </w:pPr>
            <w:r>
              <w:rPr>
                <w:b/>
              </w:rPr>
              <w:t>General conditions relating to this call</w:t>
            </w:r>
          </w:p>
        </w:tc>
      </w:tr>
      <w:tr w:rsidR="00401FAE" w14:paraId="335AD99C" w14:textId="77777777">
        <w:tc>
          <w:tcPr>
            <w:tcW w:w="0" w:type="auto"/>
          </w:tcPr>
          <w:p w14:paraId="7E42B3DB" w14:textId="77777777" w:rsidR="00401FAE" w:rsidRDefault="00787C76">
            <w:pPr>
              <w:pStyle w:val="CellTextValue"/>
              <w:jc w:val="left"/>
            </w:pPr>
            <w:r>
              <w:rPr>
                <w:i/>
              </w:rPr>
              <w:t>Admissibility conditions</w:t>
            </w:r>
          </w:p>
        </w:tc>
        <w:tc>
          <w:tcPr>
            <w:tcW w:w="0" w:type="auto"/>
          </w:tcPr>
          <w:p w14:paraId="5FFACB6C" w14:textId="77777777" w:rsidR="00401FAE" w:rsidRDefault="00787C76">
            <w:pPr>
              <w:pStyle w:val="CellTextValue"/>
            </w:pPr>
            <w:r>
              <w:rPr>
                <w:color w:val="000000"/>
              </w:rPr>
              <w:t>The conditions are described in General Annex A.</w:t>
            </w:r>
          </w:p>
        </w:tc>
      </w:tr>
      <w:tr w:rsidR="00401FAE" w14:paraId="12AC4B6C" w14:textId="77777777">
        <w:tc>
          <w:tcPr>
            <w:tcW w:w="0" w:type="auto"/>
          </w:tcPr>
          <w:p w14:paraId="3F5AF450" w14:textId="77777777" w:rsidR="00401FAE" w:rsidRDefault="00787C76">
            <w:pPr>
              <w:pStyle w:val="CellTextValue"/>
              <w:jc w:val="left"/>
            </w:pPr>
            <w:r>
              <w:rPr>
                <w:i/>
              </w:rPr>
              <w:t>Eligibility conditions</w:t>
            </w:r>
          </w:p>
        </w:tc>
        <w:tc>
          <w:tcPr>
            <w:tcW w:w="0" w:type="auto"/>
          </w:tcPr>
          <w:p w14:paraId="1F5B7536" w14:textId="77777777" w:rsidR="00401FAE" w:rsidRDefault="00787C76">
            <w:pPr>
              <w:pStyle w:val="CellTextValue"/>
            </w:pPr>
            <w:r>
              <w:rPr>
                <w:color w:val="000000"/>
              </w:rPr>
              <w:t>The conditions are described in General Annex B.</w:t>
            </w:r>
          </w:p>
        </w:tc>
      </w:tr>
      <w:tr w:rsidR="00401FAE" w14:paraId="0916A63F" w14:textId="77777777">
        <w:tc>
          <w:tcPr>
            <w:tcW w:w="0" w:type="auto"/>
          </w:tcPr>
          <w:p w14:paraId="76D6278D" w14:textId="77777777" w:rsidR="00401FAE" w:rsidRDefault="00787C76">
            <w:pPr>
              <w:pStyle w:val="CellTextValue"/>
              <w:jc w:val="left"/>
            </w:pPr>
            <w:r>
              <w:rPr>
                <w:i/>
              </w:rPr>
              <w:t>Financial and operational capacity and exclusion</w:t>
            </w:r>
          </w:p>
        </w:tc>
        <w:tc>
          <w:tcPr>
            <w:tcW w:w="0" w:type="auto"/>
          </w:tcPr>
          <w:p w14:paraId="10B84AB4" w14:textId="77777777" w:rsidR="00401FAE" w:rsidRDefault="00787C76">
            <w:pPr>
              <w:pStyle w:val="CellTextValue"/>
            </w:pPr>
            <w:r>
              <w:rPr>
                <w:color w:val="000000"/>
              </w:rPr>
              <w:t>The criteria are described in General Annex C.</w:t>
            </w:r>
          </w:p>
        </w:tc>
      </w:tr>
      <w:tr w:rsidR="00401FAE" w14:paraId="51373533" w14:textId="77777777">
        <w:tc>
          <w:tcPr>
            <w:tcW w:w="0" w:type="auto"/>
          </w:tcPr>
          <w:p w14:paraId="44F483F8" w14:textId="77777777" w:rsidR="00401FAE" w:rsidRDefault="00787C76">
            <w:pPr>
              <w:pStyle w:val="CellTextValue"/>
              <w:jc w:val="left"/>
            </w:pPr>
            <w:r>
              <w:rPr>
                <w:i/>
              </w:rPr>
              <w:t>Award criteria</w:t>
            </w:r>
          </w:p>
        </w:tc>
        <w:tc>
          <w:tcPr>
            <w:tcW w:w="0" w:type="auto"/>
          </w:tcPr>
          <w:p w14:paraId="7377AD10" w14:textId="77777777" w:rsidR="00401FAE" w:rsidRDefault="00787C76">
            <w:pPr>
              <w:pStyle w:val="CellTextValue"/>
            </w:pPr>
            <w:r>
              <w:rPr>
                <w:color w:val="000000"/>
              </w:rPr>
              <w:t>The criteria are described in General Annex D.</w:t>
            </w:r>
          </w:p>
        </w:tc>
      </w:tr>
      <w:tr w:rsidR="00401FAE" w14:paraId="05BB8C1F" w14:textId="77777777">
        <w:tc>
          <w:tcPr>
            <w:tcW w:w="0" w:type="auto"/>
          </w:tcPr>
          <w:p w14:paraId="4E00BF11" w14:textId="77777777" w:rsidR="00401FAE" w:rsidRDefault="00787C76">
            <w:pPr>
              <w:pStyle w:val="CellTextValue"/>
              <w:jc w:val="left"/>
            </w:pPr>
            <w:r>
              <w:rPr>
                <w:i/>
              </w:rPr>
              <w:t>Documents</w:t>
            </w:r>
          </w:p>
        </w:tc>
        <w:tc>
          <w:tcPr>
            <w:tcW w:w="0" w:type="auto"/>
          </w:tcPr>
          <w:p w14:paraId="0DAECB57" w14:textId="77777777" w:rsidR="00401FAE" w:rsidRDefault="00787C76">
            <w:pPr>
              <w:pStyle w:val="CellTextValue"/>
            </w:pPr>
            <w:r>
              <w:rPr>
                <w:color w:val="000000"/>
              </w:rPr>
              <w:t>The documents are described in General Annex E.</w:t>
            </w:r>
          </w:p>
        </w:tc>
      </w:tr>
      <w:tr w:rsidR="00401FAE" w14:paraId="6EE11B66" w14:textId="77777777">
        <w:tc>
          <w:tcPr>
            <w:tcW w:w="0" w:type="auto"/>
          </w:tcPr>
          <w:p w14:paraId="06FB27A1" w14:textId="77777777" w:rsidR="00401FAE" w:rsidRDefault="00787C76">
            <w:pPr>
              <w:pStyle w:val="CellTextValue"/>
              <w:jc w:val="left"/>
            </w:pPr>
            <w:r>
              <w:rPr>
                <w:i/>
              </w:rPr>
              <w:t>Procedure</w:t>
            </w:r>
          </w:p>
        </w:tc>
        <w:tc>
          <w:tcPr>
            <w:tcW w:w="0" w:type="auto"/>
          </w:tcPr>
          <w:p w14:paraId="6C2BFEF6" w14:textId="77777777" w:rsidR="00401FAE" w:rsidRDefault="00787C76">
            <w:pPr>
              <w:pStyle w:val="CellTextValue"/>
            </w:pPr>
            <w:r>
              <w:rPr>
                <w:color w:val="000000"/>
              </w:rPr>
              <w:t>The procedure is described in General Annex F.</w:t>
            </w:r>
          </w:p>
        </w:tc>
      </w:tr>
      <w:tr w:rsidR="00401FAE" w14:paraId="02C48B02" w14:textId="77777777">
        <w:tc>
          <w:tcPr>
            <w:tcW w:w="0" w:type="auto"/>
          </w:tcPr>
          <w:p w14:paraId="4CE517F5" w14:textId="77777777" w:rsidR="00401FAE" w:rsidRDefault="00787C76">
            <w:pPr>
              <w:pStyle w:val="CellTextValue"/>
              <w:jc w:val="left"/>
            </w:pPr>
            <w:r>
              <w:rPr>
                <w:i/>
              </w:rPr>
              <w:t>Legal and financial set-up of the Grant Agreements</w:t>
            </w:r>
          </w:p>
        </w:tc>
        <w:tc>
          <w:tcPr>
            <w:tcW w:w="0" w:type="auto"/>
          </w:tcPr>
          <w:p w14:paraId="0BD4EE3F" w14:textId="77777777" w:rsidR="00401FAE" w:rsidRDefault="00787C76">
            <w:pPr>
              <w:pStyle w:val="CellTextValue"/>
            </w:pPr>
            <w:r>
              <w:rPr>
                <w:color w:val="000000"/>
              </w:rPr>
              <w:t>The rules are described in General Annex G.</w:t>
            </w:r>
          </w:p>
        </w:tc>
      </w:tr>
    </w:tbl>
    <w:p w14:paraId="49156DF8" w14:textId="77777777" w:rsidR="00401FAE" w:rsidRDefault="00401FAE">
      <w:pPr>
        <w:spacing w:after="0" w:line="150" w:lineRule="auto"/>
      </w:pPr>
    </w:p>
    <w:p w14:paraId="56289D4F" w14:textId="77777777" w:rsidR="00401FAE" w:rsidRDefault="00787C76">
      <w:r>
        <w:t>Proposals are invited against the following topic(s):</w:t>
      </w:r>
    </w:p>
    <w:p w14:paraId="6F27C4DA" w14:textId="77777777" w:rsidR="00401FAE" w:rsidRDefault="00787C76">
      <w:pPr>
        <w:pStyle w:val="HeadingThree"/>
      </w:pPr>
      <w:bookmarkStart w:id="29" w:name="_Toc69807963"/>
      <w:r>
        <w:t>HORIZON-MISS-2021-NEB-01-01: Support the deployment of lighthouse demonstrators for the New European Bauhaus initiative in the context of Horizon Europe missions</w:t>
      </w:r>
      <w:bookmarkEnd w:id="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25"/>
        <w:gridCol w:w="7247"/>
      </w:tblGrid>
      <w:tr w:rsidR="00787C76" w14:paraId="1B7E91CB" w14:textId="77777777" w:rsidTr="00787C76">
        <w:tc>
          <w:tcPr>
            <w:tcW w:w="0" w:type="auto"/>
            <w:gridSpan w:val="2"/>
          </w:tcPr>
          <w:p w14:paraId="63B7C146" w14:textId="77777777" w:rsidR="00401FAE" w:rsidRDefault="00787C76">
            <w:pPr>
              <w:pStyle w:val="CellTextValue"/>
            </w:pPr>
            <w:r>
              <w:rPr>
                <w:b/>
              </w:rPr>
              <w:t>Specific conditions</w:t>
            </w:r>
          </w:p>
        </w:tc>
      </w:tr>
      <w:tr w:rsidR="00401FAE" w14:paraId="4ECDD8D6" w14:textId="77777777">
        <w:tc>
          <w:tcPr>
            <w:tcW w:w="0" w:type="auto"/>
          </w:tcPr>
          <w:p w14:paraId="61ABD9C8" w14:textId="77777777" w:rsidR="00401FAE" w:rsidRDefault="00787C76">
            <w:pPr>
              <w:pStyle w:val="CellTextValue"/>
              <w:jc w:val="left"/>
            </w:pPr>
            <w:r>
              <w:rPr>
                <w:i/>
              </w:rPr>
              <w:t>Expected EU contribution per project</w:t>
            </w:r>
          </w:p>
        </w:tc>
        <w:tc>
          <w:tcPr>
            <w:tcW w:w="0" w:type="auto"/>
          </w:tcPr>
          <w:p w14:paraId="18CEC0F9" w14:textId="77777777" w:rsidR="00401FAE" w:rsidRDefault="00787C76">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401FAE" w14:paraId="6B6D2FD6" w14:textId="77777777">
        <w:tc>
          <w:tcPr>
            <w:tcW w:w="0" w:type="auto"/>
          </w:tcPr>
          <w:p w14:paraId="4A04756A" w14:textId="77777777" w:rsidR="00401FAE" w:rsidRDefault="00787C76">
            <w:pPr>
              <w:pStyle w:val="CellTextValue"/>
              <w:jc w:val="left"/>
            </w:pPr>
            <w:r>
              <w:rPr>
                <w:i/>
              </w:rPr>
              <w:t>Indicative budget</w:t>
            </w:r>
          </w:p>
        </w:tc>
        <w:tc>
          <w:tcPr>
            <w:tcW w:w="0" w:type="auto"/>
          </w:tcPr>
          <w:p w14:paraId="28193E06" w14:textId="77777777" w:rsidR="00401FAE" w:rsidRDefault="00787C76">
            <w:pPr>
              <w:pStyle w:val="CellTextValue"/>
            </w:pPr>
            <w:r>
              <w:t>The total indicative budget for the topic is EUR 25.00 million.</w:t>
            </w:r>
          </w:p>
        </w:tc>
      </w:tr>
      <w:tr w:rsidR="00401FAE" w14:paraId="6FEB856B" w14:textId="77777777">
        <w:tc>
          <w:tcPr>
            <w:tcW w:w="0" w:type="auto"/>
          </w:tcPr>
          <w:p w14:paraId="56D125C5" w14:textId="77777777" w:rsidR="00401FAE" w:rsidRDefault="00787C76">
            <w:pPr>
              <w:pStyle w:val="CellTextValue"/>
              <w:jc w:val="left"/>
            </w:pPr>
            <w:r>
              <w:rPr>
                <w:i/>
              </w:rPr>
              <w:t>Type of Action</w:t>
            </w:r>
          </w:p>
        </w:tc>
        <w:tc>
          <w:tcPr>
            <w:tcW w:w="0" w:type="auto"/>
          </w:tcPr>
          <w:p w14:paraId="30A2C850" w14:textId="77777777" w:rsidR="00401FAE" w:rsidRDefault="00787C76">
            <w:pPr>
              <w:pStyle w:val="CellTextValue"/>
            </w:pPr>
            <w:r>
              <w:rPr>
                <w:color w:val="000000"/>
              </w:rPr>
              <w:t>Coordination and Support Actions</w:t>
            </w:r>
          </w:p>
        </w:tc>
      </w:tr>
      <w:tr w:rsidR="00401FAE" w14:paraId="66F57547" w14:textId="77777777">
        <w:tc>
          <w:tcPr>
            <w:tcW w:w="0" w:type="auto"/>
          </w:tcPr>
          <w:p w14:paraId="396A4A57" w14:textId="77777777" w:rsidR="00401FAE" w:rsidRDefault="00787C76">
            <w:pPr>
              <w:pStyle w:val="CellTextValue"/>
              <w:jc w:val="left"/>
            </w:pPr>
            <w:r>
              <w:rPr>
                <w:i/>
              </w:rPr>
              <w:t>Eligibility conditions</w:t>
            </w:r>
          </w:p>
        </w:tc>
        <w:tc>
          <w:tcPr>
            <w:tcW w:w="0" w:type="auto"/>
          </w:tcPr>
          <w:p w14:paraId="3DB2B7CF" w14:textId="77777777" w:rsidR="00401FAE" w:rsidRDefault="00787C76">
            <w:pPr>
              <w:pStyle w:val="CellTextValue"/>
            </w:pPr>
            <w:r>
              <w:rPr>
                <w:color w:val="000000"/>
              </w:rPr>
              <w:t>The conditions are described in General Annex B. The following exceptions apply:</w:t>
            </w:r>
          </w:p>
          <w:p w14:paraId="0C424FA0" w14:textId="77777777" w:rsidR="00401FAE" w:rsidRDefault="00787C76">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401FAE" w14:paraId="55281991" w14:textId="77777777">
        <w:tc>
          <w:tcPr>
            <w:tcW w:w="0" w:type="auto"/>
          </w:tcPr>
          <w:p w14:paraId="71A121EC" w14:textId="77777777" w:rsidR="00401FAE" w:rsidRDefault="00787C76">
            <w:pPr>
              <w:pStyle w:val="CellTextValue"/>
              <w:jc w:val="left"/>
            </w:pPr>
            <w:r>
              <w:rPr>
                <w:i/>
              </w:rPr>
              <w:t>Award criteria</w:t>
            </w:r>
          </w:p>
        </w:tc>
        <w:tc>
          <w:tcPr>
            <w:tcW w:w="0" w:type="auto"/>
          </w:tcPr>
          <w:p w14:paraId="4D9F419C" w14:textId="77777777" w:rsidR="00401FAE" w:rsidRDefault="00787C76">
            <w:pPr>
              <w:pStyle w:val="CellTextValue"/>
            </w:pPr>
            <w:r>
              <w:rPr>
                <w:color w:val="000000"/>
              </w:rPr>
              <w:t>The criteria are described in General Annex D. The following exceptions apply:</w:t>
            </w:r>
          </w:p>
          <w:p w14:paraId="71A4E6A5" w14:textId="77777777" w:rsidR="00401FAE" w:rsidRDefault="00787C76">
            <w:pPr>
              <w:pStyle w:val="CellTextValue"/>
            </w:pPr>
            <w:r>
              <w:rPr>
                <w:color w:val="000000"/>
              </w:rPr>
              <w:t>The following exceptions apply:</w:t>
            </w:r>
          </w:p>
          <w:p w14:paraId="5E313423" w14:textId="77777777" w:rsidR="00401FAE" w:rsidRDefault="00787C76" w:rsidP="00787C76">
            <w:pPr>
              <w:pStyle w:val="Paragraphedeliste"/>
              <w:numPr>
                <w:ilvl w:val="0"/>
                <w:numId w:val="30"/>
              </w:numPr>
              <w:spacing w:after="150"/>
              <w:ind w:right="100"/>
            </w:pPr>
            <w:r>
              <w:rPr>
                <w:color w:val="000000"/>
              </w:rPr>
              <w:t>The quality criteria will include the following additional aspects: demonstration of broad engagement and consultation of citizens and all relevant stakeholders to define the needs analysis and the understanding of implications of the challenge in the given territory (e.g. neighbourhood, district, ecosystem) in terms of sustainability (in line with the European Green Deal), inclusiveness (including accessibility and affordability) and aesthetics (including functionality, comfort, attractiveness, etc.).</w:t>
            </w:r>
          </w:p>
          <w:p w14:paraId="20AA07A5" w14:textId="77777777" w:rsidR="00401FAE" w:rsidRDefault="00787C76" w:rsidP="00787C76">
            <w:pPr>
              <w:pStyle w:val="Paragraphedeliste"/>
              <w:numPr>
                <w:ilvl w:val="0"/>
                <w:numId w:val="30"/>
              </w:numPr>
              <w:spacing w:after="150"/>
              <w:ind w:right="100"/>
            </w:pPr>
            <w:r>
              <w:rPr>
                <w:color w:val="000000"/>
              </w:rPr>
              <w:t>The impact criteria will include the elaboration of a two-year programme for further design and implementation of the whole or part of the complete territorial transformation plan as well as demonstration of the long-term vision and commitment of territorial agents to implement the transformation through partnerships and integrated funding.</w:t>
            </w:r>
          </w:p>
          <w:p w14:paraId="35F4121E" w14:textId="77777777" w:rsidR="00401FAE" w:rsidRDefault="00787C76" w:rsidP="00787C76">
            <w:pPr>
              <w:pStyle w:val="Paragraphedeliste"/>
              <w:numPr>
                <w:ilvl w:val="0"/>
                <w:numId w:val="30"/>
              </w:numPr>
              <w:spacing w:after="150"/>
              <w:ind w:right="100"/>
            </w:pPr>
            <w:r>
              <w:rPr>
                <w:color w:val="000000"/>
              </w:rPr>
              <w:t>To ensure a balanced portfolio covering geographical areas, grants will be awarded to applications not only in the order of ranking but at least also to the projects that are the highest ranked covering different parts of the territory of the European Union and Associated Countries, provided that the applications attain all thresholds.</w:t>
            </w:r>
          </w:p>
          <w:p w14:paraId="6F67E62E" w14:textId="77777777" w:rsidR="00401FAE" w:rsidRDefault="00787C76" w:rsidP="00787C76">
            <w:pPr>
              <w:pStyle w:val="Paragraphedeliste"/>
              <w:numPr>
                <w:ilvl w:val="0"/>
                <w:numId w:val="30"/>
              </w:numPr>
              <w:spacing w:after="150"/>
              <w:ind w:right="100"/>
            </w:pPr>
            <w:r>
              <w:rPr>
                <w:color w:val="000000"/>
              </w:rPr>
              <w:t>Given the nature of the action, Option 2 of the model grant agreement will be applicable:</w:t>
            </w:r>
          </w:p>
          <w:p w14:paraId="7FF67861" w14:textId="77777777" w:rsidR="00401FAE" w:rsidRDefault="00787C76">
            <w:r>
              <w:rPr>
                <w:color w:val="000000"/>
              </w:rPr>
              <w:t xml:space="preserve">Purchases of equipment, infrastructure or other assets specifically for the action (or developed as part of the action tasks) may be declared as full capitalised costs if they fulfil the cost eligibility conditions applicable to their respective cost categories. ‘Capitalised costs’ means: </w:t>
            </w:r>
          </w:p>
          <w:p w14:paraId="2D75233E" w14:textId="77777777" w:rsidR="00401FAE" w:rsidRDefault="00787C76">
            <w:r>
              <w:rPr>
                <w:color w:val="000000"/>
              </w:rPr>
              <w:t xml:space="preserve">* costs incurred in the purchase or for the development of the equipment, infrastructure or other assets and </w:t>
            </w:r>
          </w:p>
          <w:p w14:paraId="01D5BAB3" w14:textId="77777777" w:rsidR="00401FAE" w:rsidRDefault="00787C76">
            <w:r>
              <w:rPr>
                <w:color w:val="000000"/>
              </w:rPr>
              <w:t xml:space="preserve">* which are recorded under a fixed asset account of the beneficiary in compliance with international accounting standards and the beneficiary’s usual cost accounting practices. </w:t>
            </w:r>
          </w:p>
          <w:p w14:paraId="7F6808D7" w14:textId="77777777" w:rsidR="00401FAE" w:rsidRDefault="00787C76">
            <w:r>
              <w:rPr>
                <w:color w:val="000000"/>
              </w:rPr>
              <w:t>If such equipment, infrastructure or other assets are rented or leased, full costs for renting or leasing are eligible, if they do not exceed the depreciation costs of similar equipment, infrastructure or assets and do not include any financing fees.</w:t>
            </w:r>
          </w:p>
        </w:tc>
      </w:tr>
    </w:tbl>
    <w:p w14:paraId="7E69AB03" w14:textId="77777777" w:rsidR="00401FAE" w:rsidRDefault="00401FAE">
      <w:pPr>
        <w:spacing w:after="0" w:line="150" w:lineRule="auto"/>
      </w:pPr>
    </w:p>
    <w:p w14:paraId="36D27C0A" w14:textId="77777777" w:rsidR="00401FAE" w:rsidRDefault="00787C76">
      <w:r>
        <w:rPr>
          <w:u w:val="single"/>
        </w:rPr>
        <w:t>Expected Outcome</w:t>
      </w:r>
      <w:r>
        <w:t xml:space="preserve">: </w:t>
      </w:r>
      <w:r>
        <w:rPr>
          <w:color w:val="000000"/>
        </w:rPr>
        <w:t xml:space="preserve">Through a mutually supportive relationship, Horizon Europe missions and the New European Bauhaus (NEB) initiative will develop connections on a wide range of topics. For example, there are shared objectives in areas such as climate-neutral and smart cities, adaptation of the built environment to the effects of climate change (while respecting existing aesthetic and historical values), including flooding and sea level rise, sustainable use of soils through better spatial planning, urban greening and nature-based solutions, and cancer prevention and quality of life through healthy lifestyles and a healthy living environment. </w:t>
      </w:r>
    </w:p>
    <w:p w14:paraId="43ED5F7A" w14:textId="77777777" w:rsidR="00401FAE" w:rsidRDefault="00787C76">
      <w:r>
        <w:rPr>
          <w:color w:val="000000"/>
        </w:rPr>
        <w:t xml:space="preserve">This action will offer opportunities to engage with communities on an environmentally sustainable, socially fair, and aesthetically appealing transition, using architecture, design and culture as core resources for a sustainable society. These shared qualities between Horizon Europe missions and the NEB should be capitalised on, leading to increased impact for both initiatives, and providing guidance and insight for the missions’ implementation. Horizon Europe missions and the NEB both emphasise the importance of involving citizens in the green transition at the local level, in pursuit of broader societal transformation. Linking the two initiatives can help solidify the concept in the public’s collective conscious that the missions embody research and innovation’s capacity to positively impact their daily lives. </w:t>
      </w:r>
    </w:p>
    <w:p w14:paraId="0474AEFB" w14:textId="77777777" w:rsidR="00401FAE" w:rsidRDefault="00787C76">
      <w:r>
        <w:rPr>
          <w:color w:val="000000"/>
        </w:rPr>
        <w:t xml:space="preserve">Proposals are expected to demonstrate all of the outcomes listed below: </w:t>
      </w:r>
    </w:p>
    <w:p w14:paraId="0B6976A1" w14:textId="77777777" w:rsidR="00401FAE" w:rsidRDefault="00787C76" w:rsidP="00787C76">
      <w:pPr>
        <w:pStyle w:val="Paragraphedeliste"/>
        <w:numPr>
          <w:ilvl w:val="0"/>
          <w:numId w:val="31"/>
        </w:numPr>
      </w:pPr>
      <w:r>
        <w:rPr>
          <w:color w:val="000000"/>
        </w:rPr>
        <w:t>The projects should have a clear expected transformational impact both on the built environment, and on how people live and interact in that environment. The pilots will fully embrace the mission objectives and NEB principles, acting as "lighthouse demonstrators", serving as test-beds for the implementation of Horizon Europe mission objectives and innovative solutions.</w:t>
      </w:r>
    </w:p>
    <w:p w14:paraId="67F8AEBD" w14:textId="77777777" w:rsidR="00401FAE" w:rsidRDefault="00787C76" w:rsidP="00787C76">
      <w:pPr>
        <w:pStyle w:val="Paragraphedeliste"/>
        <w:numPr>
          <w:ilvl w:val="0"/>
          <w:numId w:val="31"/>
        </w:numPr>
      </w:pPr>
      <w:r>
        <w:rPr>
          <w:color w:val="000000"/>
        </w:rPr>
        <w:t>Deliver, by the end of the project, ‘tangible’ and replicable results, leading to benefits in the long-term.</w:t>
      </w:r>
    </w:p>
    <w:p w14:paraId="4A5487F7" w14:textId="77777777" w:rsidR="00401FAE" w:rsidRDefault="00787C76" w:rsidP="00787C76">
      <w:pPr>
        <w:pStyle w:val="Paragraphedeliste"/>
        <w:numPr>
          <w:ilvl w:val="0"/>
          <w:numId w:val="31"/>
        </w:numPr>
      </w:pPr>
      <w:r>
        <w:rPr>
          <w:color w:val="000000"/>
        </w:rPr>
        <w:t>The grants leading to the design and deployment of the initial implementation phase are meant to catalyse substantial additional investments (e.g. partnerships of national, regional, local public and private sources, including EU Structural Funds) to ensure the implementation of the full-scale project after the design phase.</w:t>
      </w:r>
    </w:p>
    <w:p w14:paraId="27F0D983" w14:textId="77777777" w:rsidR="00401FAE" w:rsidRDefault="00787C76" w:rsidP="00787C76">
      <w:pPr>
        <w:pStyle w:val="Paragraphedeliste"/>
        <w:numPr>
          <w:ilvl w:val="0"/>
          <w:numId w:val="31"/>
        </w:numPr>
      </w:pPr>
      <w:r>
        <w:rPr>
          <w:color w:val="000000"/>
        </w:rPr>
        <w:t xml:space="preserve">A clear demonstration effect in relation to the operationalisation of the triangle of sustainability, inclusion and aesthetics, serving as reference for the broader implementation of the NEB initiative, as well as for the uptake and support of the Horizon Europe missions by national, regional and local authorities, other stakeholders, and European citizens, thus enabling a rapid scale-up of Horizon Europe missions’ activities. </w:t>
      </w:r>
    </w:p>
    <w:p w14:paraId="5DD534B4" w14:textId="77777777" w:rsidR="00401FAE" w:rsidRDefault="00787C76">
      <w:r>
        <w:rPr>
          <w:u w:val="single"/>
        </w:rPr>
        <w:t>Scope</w:t>
      </w:r>
      <w:r>
        <w:t xml:space="preserve">: </w:t>
      </w:r>
      <w:r>
        <w:rPr>
          <w:color w:val="000000"/>
        </w:rPr>
        <w:t xml:space="preserve">This action will contribute to the Delivery Phase of the NEB, by deploying mission-oriented pilot projects that will act as ‘lighthouse demonstrators’ across the territory of the European Union and Associated Countries. They should embrace the key principles of the NEB initiative (sustainability, inclusion and aesthetics), using architecture, design and culture as core resources for a sustainable society, and the mission-oriented approach (impactful, measurable, targeted) in an innovative and exemplary manner. They should address one or more relevant challenges that represent the wide scope of the NEB initiative, such as: </w:t>
      </w:r>
    </w:p>
    <w:p w14:paraId="5753CD7B" w14:textId="77777777" w:rsidR="00401FAE" w:rsidRDefault="00787C76" w:rsidP="00787C76">
      <w:pPr>
        <w:pStyle w:val="Paragraphedeliste"/>
        <w:numPr>
          <w:ilvl w:val="0"/>
          <w:numId w:val="32"/>
        </w:numPr>
      </w:pPr>
      <w:r>
        <w:rPr>
          <w:color w:val="000000"/>
        </w:rPr>
        <w:t xml:space="preserve">Environmental and climate adaptation challenges, environmental and climate risks, prevention and resilience </w:t>
      </w:r>
    </w:p>
    <w:p w14:paraId="44FEDDB2" w14:textId="77777777" w:rsidR="00401FAE" w:rsidRDefault="00787C76" w:rsidP="00787C76">
      <w:pPr>
        <w:pStyle w:val="Paragraphedeliste"/>
        <w:numPr>
          <w:ilvl w:val="0"/>
          <w:numId w:val="32"/>
        </w:numPr>
      </w:pPr>
      <w:r>
        <w:rPr>
          <w:color w:val="000000"/>
        </w:rPr>
        <w:t>Economic and territorial changes linked to the green transition</w:t>
      </w:r>
    </w:p>
    <w:p w14:paraId="008BD2BB" w14:textId="77777777" w:rsidR="00401FAE" w:rsidRDefault="00787C76" w:rsidP="00787C76">
      <w:pPr>
        <w:pStyle w:val="Paragraphedeliste"/>
        <w:numPr>
          <w:ilvl w:val="0"/>
          <w:numId w:val="32"/>
        </w:numPr>
      </w:pPr>
      <w:r>
        <w:rPr>
          <w:color w:val="000000"/>
        </w:rPr>
        <w:t>Social challenges (poverty, segregation, social exclusion, etc.)</w:t>
      </w:r>
    </w:p>
    <w:p w14:paraId="0F1FF3FA" w14:textId="77777777" w:rsidR="00401FAE" w:rsidRDefault="00787C76" w:rsidP="00787C76">
      <w:pPr>
        <w:pStyle w:val="Paragraphedeliste"/>
        <w:numPr>
          <w:ilvl w:val="0"/>
          <w:numId w:val="32"/>
        </w:numPr>
      </w:pPr>
      <w:r>
        <w:rPr>
          <w:color w:val="000000"/>
        </w:rPr>
        <w:t>Challenges linked to the use, preservation and reconversion of existing infrastructure and heritage</w:t>
      </w:r>
    </w:p>
    <w:p w14:paraId="57DF7F75" w14:textId="77777777" w:rsidR="00401FAE" w:rsidRDefault="00787C76" w:rsidP="00787C76">
      <w:pPr>
        <w:pStyle w:val="Paragraphedeliste"/>
        <w:numPr>
          <w:ilvl w:val="0"/>
          <w:numId w:val="32"/>
        </w:numPr>
      </w:pPr>
      <w:r>
        <w:rPr>
          <w:color w:val="000000"/>
        </w:rPr>
        <w:t xml:space="preserve">Demographic challenges (ageing, migration, depopulation, changes in property market due to tourism, etc.)  </w:t>
      </w:r>
    </w:p>
    <w:p w14:paraId="34299557" w14:textId="77777777" w:rsidR="00401FAE" w:rsidRDefault="00787C76">
      <w:r>
        <w:rPr>
          <w:color w:val="000000"/>
        </w:rPr>
        <w:t>Proposals should include:</w:t>
      </w:r>
    </w:p>
    <w:p w14:paraId="3A530711" w14:textId="77777777" w:rsidR="00401FAE" w:rsidRDefault="00787C76" w:rsidP="00787C76">
      <w:pPr>
        <w:pStyle w:val="Paragraphedeliste"/>
        <w:numPr>
          <w:ilvl w:val="0"/>
          <w:numId w:val="33"/>
        </w:numPr>
      </w:pPr>
      <w:r>
        <w:rPr>
          <w:color w:val="000000"/>
        </w:rPr>
        <w:t>The development of an ambitious, mission-oriented, quality co-design process, based on citizens’ and stakeholders' participation and multidisciplinary (e.g. arts, architecture, design, heritage, engineering, physical and spatial planning, manufacturing, technology, environmental and social sciences, etc.) and multilevel collaboration (e.g. civil society, public and private actors), also capable of addressing the relevant objectives of the Horizon Europe missions.</w:t>
      </w:r>
    </w:p>
    <w:p w14:paraId="1E42F690" w14:textId="77777777" w:rsidR="00401FAE" w:rsidRDefault="00787C76" w:rsidP="00787C76">
      <w:pPr>
        <w:pStyle w:val="Paragraphedeliste"/>
        <w:numPr>
          <w:ilvl w:val="0"/>
          <w:numId w:val="33"/>
        </w:numPr>
      </w:pPr>
      <w:r>
        <w:rPr>
          <w:color w:val="000000"/>
        </w:rPr>
        <w:t xml:space="preserve">An ambitious and credible executive plan that identifies and analyses the challenges and resources of a given territory (e.g. neighbourhood, district, ecosystem) in terms of sustainability (in line with the European Green Deal), inclusiveness (including accessibility and affordability) and aesthetics (including functionality, comfort, attractiveness, etc.). </w:t>
      </w:r>
    </w:p>
    <w:p w14:paraId="09F9AE8F" w14:textId="77777777" w:rsidR="00401FAE" w:rsidRDefault="00787C76" w:rsidP="00787C76">
      <w:pPr>
        <w:pStyle w:val="Paragraphedeliste"/>
        <w:numPr>
          <w:ilvl w:val="0"/>
          <w:numId w:val="33"/>
        </w:numPr>
      </w:pPr>
      <w:r>
        <w:rPr>
          <w:color w:val="000000"/>
        </w:rPr>
        <w:t>The detailed outlined, through feasibility studies, of highly innovative, cutting-edge solutions, associating meaningful, inclusive social purpose with strong aesthetic values and sustainability, in line with the European Green Deal, to address emblematic environmental and societal challenges at the territorial level.</w:t>
      </w:r>
    </w:p>
    <w:p w14:paraId="4AAA58EC" w14:textId="77777777" w:rsidR="00401FAE" w:rsidRDefault="00787C76" w:rsidP="00787C76">
      <w:pPr>
        <w:pStyle w:val="Paragraphedeliste"/>
        <w:numPr>
          <w:ilvl w:val="0"/>
          <w:numId w:val="33"/>
        </w:numPr>
      </w:pPr>
      <w:r>
        <w:rPr>
          <w:color w:val="000000"/>
        </w:rPr>
        <w:t xml:space="preserve">Deployment of an initial set of solutions as demonstrators within a two-year timeframe, accompanied by a rigorous impact evaluation methodology, measuring the impact of the adopted methodologies. Involvement and testing of the demonstrators with international experts. </w:t>
      </w:r>
    </w:p>
    <w:p w14:paraId="04223FB0" w14:textId="77777777" w:rsidR="00401FAE" w:rsidRDefault="00787C76" w:rsidP="00787C76">
      <w:pPr>
        <w:pStyle w:val="Paragraphedeliste"/>
        <w:numPr>
          <w:ilvl w:val="0"/>
          <w:numId w:val="33"/>
        </w:numPr>
      </w:pPr>
      <w:r>
        <w:rPr>
          <w:color w:val="000000"/>
        </w:rPr>
        <w:t>A detailed roadmap for implementation, with a sustainable financial plan quantifying and identifying substantial additional investment based on involvement and partnerships with different actors (national, regional, local, public and private sources).</w:t>
      </w:r>
    </w:p>
    <w:p w14:paraId="30F1F045" w14:textId="77777777" w:rsidR="00401FAE" w:rsidRDefault="00787C76" w:rsidP="00787C76">
      <w:pPr>
        <w:pStyle w:val="Paragraphedeliste"/>
        <w:numPr>
          <w:ilvl w:val="0"/>
          <w:numId w:val="33"/>
        </w:numPr>
      </w:pPr>
      <w:r>
        <w:rPr>
          <w:color w:val="000000"/>
        </w:rPr>
        <w:t xml:space="preserve">Evidence of developed relationships and partnerships with responsible authorities and/or representatives (on planning, permits, property rights, financing, impact assessments, etc.). </w:t>
      </w:r>
    </w:p>
    <w:p w14:paraId="4C9B5CC9" w14:textId="77777777" w:rsidR="00401FAE" w:rsidRDefault="00787C76" w:rsidP="00787C76">
      <w:pPr>
        <w:pStyle w:val="Paragraphedeliste"/>
        <w:numPr>
          <w:ilvl w:val="0"/>
          <w:numId w:val="33"/>
        </w:numPr>
      </w:pPr>
      <w:r>
        <w:rPr>
          <w:color w:val="000000"/>
        </w:rPr>
        <w:t>Exchange and dissemination of co-design methodology at European Union and Associated Countries level.</w:t>
      </w:r>
    </w:p>
    <w:p w14:paraId="7F435D10" w14:textId="77777777" w:rsidR="00401FAE" w:rsidRDefault="00787C76" w:rsidP="00787C76">
      <w:pPr>
        <w:pStyle w:val="Paragraphedeliste"/>
        <w:numPr>
          <w:ilvl w:val="0"/>
          <w:numId w:val="33"/>
        </w:numPr>
      </w:pPr>
      <w:r>
        <w:rPr>
          <w:color w:val="000000"/>
        </w:rPr>
        <w:t>Contribution to the outreach, dissemination and communication strategy and plan of the NEB and of Horizon Europe missions.</w:t>
      </w:r>
    </w:p>
    <w:p w14:paraId="56562B0B" w14:textId="77777777" w:rsidR="00401FAE" w:rsidRDefault="00787C76" w:rsidP="00787C76">
      <w:pPr>
        <w:pStyle w:val="Paragraphedeliste"/>
        <w:numPr>
          <w:ilvl w:val="0"/>
          <w:numId w:val="33"/>
        </w:numPr>
      </w:pPr>
      <w:r>
        <w:rPr>
          <w:color w:val="000000"/>
        </w:rPr>
        <w:t>The NEB initiative, launched in late 2020, will undergo rapid development in an open community. Potential applicants are invited to join this community under [</w:t>
      </w:r>
      <w:hyperlink r:id="rId11">
        <w:r>
          <w:rPr>
            <w:color w:val="0000FF"/>
            <w:szCs w:val="24"/>
            <w:u w:val="single"/>
          </w:rPr>
          <w:t>https://europa.eu/new-european-bauhaus/index_en</w:t>
        </w:r>
      </w:hyperlink>
      <w:r>
        <w:rPr>
          <w:color w:val="000000"/>
        </w:rPr>
        <w:t>] to contribute to the discussion on the application of the NEB principles in the 21</w:t>
      </w:r>
      <w:r>
        <w:rPr>
          <w:color w:val="000000"/>
          <w:vertAlign w:val="superscript"/>
        </w:rPr>
        <w:t>st</w:t>
      </w:r>
      <w:r>
        <w:rPr>
          <w:color w:val="000000"/>
        </w:rPr>
        <w:t>, and their role in the twin green and digital transitions, and recovery from the COVID-19 crisis.</w:t>
      </w:r>
    </w:p>
    <w:p w14:paraId="42BE2521" w14:textId="77777777" w:rsidR="00401FAE" w:rsidRDefault="00787C76" w:rsidP="00787C76">
      <w:pPr>
        <w:pStyle w:val="Paragraphedeliste"/>
        <w:numPr>
          <w:ilvl w:val="0"/>
          <w:numId w:val="33"/>
        </w:numPr>
      </w:pPr>
      <w:r>
        <w:rPr>
          <w:color w:val="000000"/>
        </w:rPr>
        <w:t xml:space="preserve">Projects are expected to participate in European-level networking opportunities in the context of the NEB initiative.  </w:t>
      </w:r>
    </w:p>
    <w:p w14:paraId="13A33E8E" w14:textId="77777777" w:rsidR="00401FAE" w:rsidRDefault="00787C76">
      <w:pPr>
        <w:pStyle w:val="HeadingOne"/>
        <w:pageBreakBefore/>
      </w:pPr>
      <w:bookmarkStart w:id="30" w:name="_Toc69807964"/>
      <w:r>
        <w:t>Other Actions not subject to calls for proposals</w:t>
      </w:r>
      <w:bookmarkEnd w:id="30"/>
    </w:p>
    <w:p w14:paraId="78A37FB6" w14:textId="77777777" w:rsidR="00401FAE" w:rsidRDefault="00787C76">
      <w:pPr>
        <w:pStyle w:val="HeadingTwo"/>
      </w:pPr>
      <w:bookmarkStart w:id="31" w:name="_Toc69807965"/>
      <w:r>
        <w:t>Indirectly managed actions</w:t>
      </w:r>
      <w:bookmarkEnd w:id="31"/>
      <w:r>
        <w:t xml:space="preserve"> </w:t>
      </w:r>
    </w:p>
    <w:p w14:paraId="336756D0" w14:textId="77777777" w:rsidR="00401FAE" w:rsidRDefault="00787C76">
      <w:pPr>
        <w:pStyle w:val="HeadingThree"/>
      </w:pPr>
      <w:bookmarkStart w:id="32" w:name="_Toc69807966"/>
      <w:r>
        <w:t>1. EIB Innovation Finance Advisory to support the implementation of EU Missions</w:t>
      </w:r>
      <w:bookmarkEnd w:id="32"/>
    </w:p>
    <w:p w14:paraId="1E7A4068" w14:textId="77777777" w:rsidR="00401FAE" w:rsidRDefault="00787C76">
      <w:r>
        <w:rPr>
          <w:b/>
          <w:color w:val="000000"/>
          <w:u w:val="single"/>
        </w:rPr>
        <w:t>Expected Outcomes</w:t>
      </w:r>
      <w:r>
        <w:rPr>
          <w:color w:val="000000"/>
        </w:rPr>
        <w:t>:</w:t>
      </w:r>
    </w:p>
    <w:p w14:paraId="53059D43" w14:textId="77777777" w:rsidR="00401FAE" w:rsidRDefault="00787C76">
      <w:r>
        <w:rPr>
          <w:color w:val="000000"/>
        </w:rPr>
        <w:t>The action is expected to contribute to all of the following outcomes, tailored to the specific needs and activities of each of the missions that enter the full implementation phase:</w:t>
      </w:r>
    </w:p>
    <w:p w14:paraId="196EF81F" w14:textId="77777777" w:rsidR="00401FAE" w:rsidRDefault="00787C76" w:rsidP="00787C76">
      <w:pPr>
        <w:pStyle w:val="Paragraphedeliste"/>
        <w:numPr>
          <w:ilvl w:val="0"/>
          <w:numId w:val="34"/>
        </w:numPr>
      </w:pPr>
      <w:r>
        <w:rPr>
          <w:color w:val="000000"/>
        </w:rPr>
        <w:t>Increased investor engagement;</w:t>
      </w:r>
    </w:p>
    <w:p w14:paraId="51317C80" w14:textId="77777777" w:rsidR="00401FAE" w:rsidRDefault="00787C76" w:rsidP="00787C76">
      <w:pPr>
        <w:pStyle w:val="Paragraphedeliste"/>
        <w:numPr>
          <w:ilvl w:val="0"/>
          <w:numId w:val="34"/>
        </w:numPr>
      </w:pPr>
      <w:r>
        <w:rPr>
          <w:color w:val="000000"/>
        </w:rPr>
        <w:t xml:space="preserve">Development of new/better financing ecosystems;  </w:t>
      </w:r>
    </w:p>
    <w:p w14:paraId="72822006" w14:textId="77777777" w:rsidR="00401FAE" w:rsidRDefault="00787C76">
      <w:r>
        <w:rPr>
          <w:b/>
          <w:color w:val="000000"/>
          <w:u w:val="single"/>
        </w:rPr>
        <w:t>Expected Impact:</w:t>
      </w:r>
    </w:p>
    <w:p w14:paraId="05138B1B" w14:textId="77777777" w:rsidR="00401FAE" w:rsidRDefault="00787C76">
      <w:r>
        <w:rPr>
          <w:color w:val="000000"/>
        </w:rPr>
        <w:t>Proposals should set out a credible pathway to contributing to several of the following impacts:</w:t>
      </w:r>
    </w:p>
    <w:p w14:paraId="59CC4746" w14:textId="77777777" w:rsidR="00401FAE" w:rsidRDefault="00787C76" w:rsidP="00787C76">
      <w:pPr>
        <w:pStyle w:val="Paragraphedeliste"/>
        <w:numPr>
          <w:ilvl w:val="0"/>
          <w:numId w:val="35"/>
        </w:numPr>
      </w:pPr>
      <w:r>
        <w:rPr>
          <w:color w:val="000000"/>
          <w:u w:val="single"/>
        </w:rPr>
        <w:t>Financial viability of missions</w:t>
      </w:r>
      <w:r>
        <w:rPr>
          <w:color w:val="000000"/>
        </w:rPr>
        <w:t xml:space="preserve">: Long term financial viability of a mission through the European Multiannual Financial Framework and the mobilising of other sources of funding which will together enable the missions to achieve their ambitious objectives and societal impact. This will be enabled through effective use of appropriate financing tools, instruments and models. </w:t>
      </w:r>
    </w:p>
    <w:p w14:paraId="0CD738AD" w14:textId="77777777" w:rsidR="00401FAE" w:rsidRDefault="00787C76" w:rsidP="00787C76">
      <w:pPr>
        <w:pStyle w:val="Paragraphedeliste"/>
        <w:numPr>
          <w:ilvl w:val="0"/>
          <w:numId w:val="35"/>
        </w:numPr>
      </w:pPr>
      <w:r>
        <w:rPr>
          <w:color w:val="000000"/>
          <w:u w:val="single"/>
        </w:rPr>
        <w:t>Sound financing of large projects</w:t>
      </w:r>
      <w:r>
        <w:rPr>
          <w:color w:val="000000"/>
        </w:rPr>
        <w:t>: Sound financing of large, complex demonstration or flagship projects, which are expected to play an important part in achieving the missions’ objectives.</w:t>
      </w:r>
    </w:p>
    <w:p w14:paraId="37A5FC12" w14:textId="77777777" w:rsidR="00401FAE" w:rsidRDefault="00787C76" w:rsidP="00787C76">
      <w:pPr>
        <w:pStyle w:val="Paragraphedeliste"/>
        <w:numPr>
          <w:ilvl w:val="0"/>
          <w:numId w:val="35"/>
        </w:numPr>
      </w:pPr>
      <w:r>
        <w:rPr>
          <w:color w:val="000000"/>
          <w:u w:val="single"/>
        </w:rPr>
        <w:t xml:space="preserve">Missions implemented through a portfolio of different activities </w:t>
      </w:r>
      <w:r>
        <w:rPr>
          <w:color w:val="000000"/>
        </w:rPr>
        <w:t xml:space="preserve">planned over time and building on each other.  </w:t>
      </w:r>
    </w:p>
    <w:p w14:paraId="75C4135B" w14:textId="77777777" w:rsidR="00401FAE" w:rsidRDefault="00787C76">
      <w:r>
        <w:rPr>
          <w:b/>
          <w:color w:val="000000"/>
          <w:u w:val="single"/>
        </w:rPr>
        <w:t>Scope:</w:t>
      </w:r>
    </w:p>
    <w:p w14:paraId="7E277B92" w14:textId="77777777" w:rsidR="00401FAE" w:rsidRDefault="00787C76">
      <w:r>
        <w:rPr>
          <w:color w:val="000000"/>
        </w:rPr>
        <w:t>This action supports initial Innovation Finance Advisory services for the first year of the implementation of the missions under an advisory agreement with the EIB Group for the implementation of the InvestEU Advisory Hub, or any other contractual/legal agreement that is deemed appropriate by the implementing partners. The scope and budget of the activity will be aligned to reflect the Commission’s decision making with regard to the full implementation phase of missions and the cooperation between the European Commission and the EIB</w:t>
      </w:r>
      <w:r>
        <w:rPr>
          <w:vertAlign w:val="superscript"/>
        </w:rPr>
        <w:footnoteReference w:id="90"/>
      </w:r>
      <w:r>
        <w:rPr>
          <w:color w:val="000000"/>
        </w:rPr>
        <w:t xml:space="preserve">. </w:t>
      </w:r>
    </w:p>
    <w:p w14:paraId="4BBC976F" w14:textId="77777777" w:rsidR="00401FAE" w:rsidRDefault="00787C76">
      <w:r>
        <w:rPr>
          <w:color w:val="000000"/>
        </w:rPr>
        <w:t>EU missions, rooted in research and innovation, aim to deliver public goods and societal impact. In order to reach their ambitious objectives, significant financing needs are expected along the entire value chain, including basic research, high risk innovation, demonstration, deployment and market penetration.</w:t>
      </w:r>
    </w:p>
    <w:p w14:paraId="1D0A5FDB" w14:textId="77777777" w:rsidR="00401FAE" w:rsidRDefault="00787C76">
      <w:r>
        <w:rPr>
          <w:color w:val="000000"/>
        </w:rPr>
        <w:t xml:space="preserve">Part of this financing will be come from funding instruments under the European Multiannual Financial Framework. However, these will not be sufficient and other sources of funding will need to be mobilised. </w:t>
      </w:r>
    </w:p>
    <w:p w14:paraId="320C28EE" w14:textId="77777777" w:rsidR="00401FAE" w:rsidRDefault="00787C76">
      <w:r>
        <w:rPr>
          <w:color w:val="000000"/>
        </w:rPr>
        <w:t xml:space="preserve">Taking into account other relevant actions in particular those being supported by Horizon Europe, the Innovation Finance Advisory services will support the identification of investment sources and outreach and engagement with potential investors or other types of funding models and mechanisms including through social innovation. This will contribute to the development of a pool of public and private actors and a variety of approaches that contribute to achieving a mission’s objectives. Special attention will be given to identify investment sources in those Member States or Associated Countries that are lagging behind in terms of such investments. Relevant existing and new financial advisory activities will be taken into consideration. </w:t>
      </w:r>
    </w:p>
    <w:p w14:paraId="178AFA2C" w14:textId="77777777" w:rsidR="00401FAE" w:rsidRDefault="00787C76">
      <w:r>
        <w:rPr>
          <w:color w:val="000000"/>
        </w:rPr>
        <w:t>The foreseen advisory services will contribute to the understanding and use of appropriate financing tools and models and instruments of actions, including the development of blended instruments under InvestEU, ensuring effective financing to reach mission objectives. For each of the missions (and their implementation teams) that enter the full implementation phase, based on their specific needs and activities, the scope of the advice and assistance will be:</w:t>
      </w:r>
    </w:p>
    <w:p w14:paraId="49AC16F1" w14:textId="77777777" w:rsidR="00401FAE" w:rsidRDefault="00787C76" w:rsidP="00787C76">
      <w:pPr>
        <w:pStyle w:val="Paragraphedeliste"/>
        <w:numPr>
          <w:ilvl w:val="0"/>
          <w:numId w:val="36"/>
        </w:numPr>
      </w:pPr>
      <w:r>
        <w:rPr>
          <w:color w:val="000000"/>
        </w:rPr>
        <w:t>identification of investment sources and outreach and engagement with potential investors or other types of funding models and mechanisms including through social innovation to contribute to the development of a pool of public and private actors and a variety of approaches that contribute to achieving a mission’s objectives;</w:t>
      </w:r>
    </w:p>
    <w:p w14:paraId="69F8F4CA" w14:textId="77777777" w:rsidR="00401FAE" w:rsidRDefault="00787C76" w:rsidP="00787C76">
      <w:pPr>
        <w:pStyle w:val="Paragraphedeliste"/>
        <w:numPr>
          <w:ilvl w:val="0"/>
          <w:numId w:val="36"/>
        </w:numPr>
      </w:pPr>
      <w:r>
        <w:rPr>
          <w:color w:val="000000"/>
        </w:rPr>
        <w:t xml:space="preserve">mobilising of the EU Multiannual Financial Framework and other sources of funding including Venture Capital, Corporate Venture Capital, National Promotional Banks, Private Equity, commercial banks and strategic investors; </w:t>
      </w:r>
    </w:p>
    <w:p w14:paraId="0ED3D00A" w14:textId="77777777" w:rsidR="00401FAE" w:rsidRDefault="00787C76" w:rsidP="00787C76">
      <w:pPr>
        <w:pStyle w:val="Paragraphedeliste"/>
        <w:numPr>
          <w:ilvl w:val="0"/>
          <w:numId w:val="36"/>
        </w:numPr>
      </w:pPr>
      <w:r>
        <w:rPr>
          <w:color w:val="000000"/>
        </w:rPr>
        <w:t>Identification and dissemination of knowledge on the use and development of financial / blended instruments, investor interest to catalyse private and public capital and investment gaps;</w:t>
      </w:r>
    </w:p>
    <w:p w14:paraId="6EE0BD43" w14:textId="77777777" w:rsidR="00401FAE" w:rsidRDefault="00787C76" w:rsidP="00787C76">
      <w:pPr>
        <w:pStyle w:val="Paragraphedeliste"/>
        <w:numPr>
          <w:ilvl w:val="0"/>
          <w:numId w:val="36"/>
        </w:numPr>
      </w:pPr>
      <w:r>
        <w:rPr>
          <w:color w:val="000000"/>
        </w:rPr>
        <w:t xml:space="preserve">Making recommendations on financing models which specifically target the delivery of public goods; </w:t>
      </w:r>
    </w:p>
    <w:p w14:paraId="3EC9A4EE" w14:textId="77777777" w:rsidR="00401FAE" w:rsidRDefault="00787C76" w:rsidP="00787C76">
      <w:pPr>
        <w:pStyle w:val="Paragraphedeliste"/>
        <w:numPr>
          <w:ilvl w:val="0"/>
          <w:numId w:val="36"/>
        </w:numPr>
      </w:pPr>
      <w:r>
        <w:rPr>
          <w:color w:val="000000"/>
        </w:rPr>
        <w:t>Providing upstream financial structuring advice for mission demonstration/pilot projects and other funding intensive mission activities;</w:t>
      </w:r>
    </w:p>
    <w:p w14:paraId="58C92663" w14:textId="77777777" w:rsidR="00401FAE" w:rsidRDefault="00787C76" w:rsidP="00787C76">
      <w:pPr>
        <w:pStyle w:val="Paragraphedeliste"/>
        <w:numPr>
          <w:ilvl w:val="0"/>
          <w:numId w:val="36"/>
        </w:numPr>
      </w:pPr>
      <w:r>
        <w:rPr>
          <w:color w:val="000000"/>
        </w:rPr>
        <w:t xml:space="preserve">Acting as financial advisory to individual (complex) flagship projects and other investment of mission activities.  </w:t>
      </w:r>
    </w:p>
    <w:p w14:paraId="37D27B55" w14:textId="77777777" w:rsidR="00401FAE" w:rsidRDefault="00787C76">
      <w:r>
        <w:rPr>
          <w:color w:val="000000"/>
        </w:rPr>
        <w:t>The use of an indirectly managed action on the basis that the beneficiary, the EIB Innovation Finance Advisory, is uniquely placed to deliver this wide range of financing advisory services, which will be of high added value to deliver the missions’ objectives, has proven capacity to make the required expertise available, building on the track record developed under the joint EC-EIB InnovFin Advisory programme.</w:t>
      </w:r>
    </w:p>
    <w:p w14:paraId="20D23DC7" w14:textId="77777777" w:rsidR="00401FAE" w:rsidRDefault="00787C76">
      <w:r>
        <w:rPr>
          <w:u w:val="single"/>
        </w:rPr>
        <w:t>Legal entities</w:t>
      </w:r>
      <w:r>
        <w:t xml:space="preserve">: </w:t>
      </w:r>
    </w:p>
    <w:p w14:paraId="3C98C33A" w14:textId="77777777" w:rsidR="00401FAE" w:rsidRDefault="00787C76">
      <w:r>
        <w:t>EIB Innovation Finance Advisory, 98-100, boulevard Konrad Adenauer L-2950 Luxembourg</w:t>
      </w:r>
    </w:p>
    <w:p w14:paraId="4B8649EF" w14:textId="77777777" w:rsidR="00401FAE" w:rsidRDefault="00787C76">
      <w:r>
        <w:rPr>
          <w:u w:val="single"/>
        </w:rPr>
        <w:t>Form of Funding</w:t>
      </w:r>
      <w:r>
        <w:t>: Indirectly managed actions</w:t>
      </w:r>
    </w:p>
    <w:p w14:paraId="79CF22B3" w14:textId="77777777" w:rsidR="00401FAE" w:rsidRDefault="00787C76">
      <w:r>
        <w:rPr>
          <w:u w:val="single"/>
        </w:rPr>
        <w:t>Type of Action</w:t>
      </w:r>
      <w:r>
        <w:t>: Indirectly managed action</w:t>
      </w:r>
    </w:p>
    <w:p w14:paraId="1A7314CE" w14:textId="77777777" w:rsidR="00401FAE" w:rsidRDefault="00787C76">
      <w:r>
        <w:rPr>
          <w:u w:val="single"/>
        </w:rPr>
        <w:t>Indicative timetable</w:t>
      </w:r>
      <w:r>
        <w:t>: 2nd quarter of 2021</w:t>
      </w:r>
    </w:p>
    <w:p w14:paraId="4BF1EC57" w14:textId="77777777" w:rsidR="00401FAE" w:rsidRDefault="00787C76">
      <w:r>
        <w:rPr>
          <w:u w:val="single"/>
        </w:rPr>
        <w:t>Indicative budget</w:t>
      </w:r>
      <w:r>
        <w:t>: EUR 2.00 million from the 2021 budget</w:t>
      </w:r>
      <w:r>
        <w:rPr>
          <w:vertAlign w:val="superscript"/>
        </w:rPr>
        <w:footnoteReference w:id="91"/>
      </w:r>
    </w:p>
    <w:p w14:paraId="1B04A6B7" w14:textId="77777777" w:rsidR="00401FAE" w:rsidRDefault="00787C76">
      <w:pPr>
        <w:pStyle w:val="HeadingTwo"/>
      </w:pPr>
      <w:bookmarkStart w:id="33" w:name="_Toc69807967"/>
      <w:r>
        <w:t>Procurements</w:t>
      </w:r>
      <w:bookmarkEnd w:id="33"/>
    </w:p>
    <w:p w14:paraId="1C7C7D8B" w14:textId="77777777" w:rsidR="00401FAE" w:rsidRDefault="00787C76">
      <w:pPr>
        <w:pStyle w:val="HeadingThree"/>
      </w:pPr>
      <w:bookmarkStart w:id="34" w:name="_Toc69807968"/>
      <w:r>
        <w:t>1. Informing citizens and stakeholders about EU Missions and engaging them in the implementation of EU Missions</w:t>
      </w:r>
      <w:bookmarkEnd w:id="34"/>
      <w:r>
        <w:t xml:space="preserve"> </w:t>
      </w:r>
    </w:p>
    <w:p w14:paraId="6EE906C6" w14:textId="77777777" w:rsidR="00401FAE" w:rsidRDefault="00787C76">
      <w:r>
        <w:rPr>
          <w:color w:val="000000"/>
        </w:rPr>
        <w:t xml:space="preserve"> </w:t>
      </w:r>
    </w:p>
    <w:p w14:paraId="7CB5CC7E" w14:textId="77777777" w:rsidR="00401FAE" w:rsidRDefault="00787C76">
      <w:r>
        <w:rPr>
          <w:b/>
          <w:color w:val="000000"/>
          <w:u w:val="single"/>
        </w:rPr>
        <w:t>Description:</w:t>
      </w:r>
    </w:p>
    <w:p w14:paraId="6572F3A2" w14:textId="77777777" w:rsidR="00401FAE" w:rsidRDefault="00787C76">
      <w:r>
        <w:rPr>
          <w:color w:val="000000"/>
        </w:rPr>
        <w:t xml:space="preserve">The success of missions depends to a great extent on the engagement of an informed community of stakeholders and citizens. Therefore, the objective of this action - a continuation of the current communication and citizens’ engagement actions for missions - is to inform and engage citizens and stakeholders to be able to effectively launch and start implementing the missions. Actions will include: </w:t>
      </w:r>
    </w:p>
    <w:p w14:paraId="05F9836B" w14:textId="77777777" w:rsidR="00401FAE" w:rsidRDefault="00787C76" w:rsidP="00787C76">
      <w:pPr>
        <w:pStyle w:val="Paragraphedeliste"/>
        <w:numPr>
          <w:ilvl w:val="0"/>
          <w:numId w:val="37"/>
        </w:numPr>
      </w:pPr>
      <w:r>
        <w:rPr>
          <w:color w:val="000000"/>
        </w:rPr>
        <w:t xml:space="preserve">a Europe-wide, multilingual communication campaign to raise the awareness of missions among relevant audiences; </w:t>
      </w:r>
    </w:p>
    <w:p w14:paraId="5033531F" w14:textId="77777777" w:rsidR="00401FAE" w:rsidRDefault="00787C76" w:rsidP="00787C76">
      <w:pPr>
        <w:pStyle w:val="Paragraphedeliste"/>
        <w:numPr>
          <w:ilvl w:val="0"/>
          <w:numId w:val="37"/>
        </w:numPr>
      </w:pPr>
      <w:r>
        <w:rPr>
          <w:color w:val="000000"/>
        </w:rPr>
        <w:t xml:space="preserve">a series of interactive offline and online events in the Member States, EEA and Associated countries; </w:t>
      </w:r>
    </w:p>
    <w:p w14:paraId="5C08AF64" w14:textId="77777777" w:rsidR="00401FAE" w:rsidRDefault="00787C76" w:rsidP="00787C76">
      <w:pPr>
        <w:pStyle w:val="Paragraphedeliste"/>
        <w:numPr>
          <w:ilvl w:val="0"/>
          <w:numId w:val="37"/>
        </w:numPr>
      </w:pPr>
      <w:r>
        <w:rPr>
          <w:color w:val="000000"/>
        </w:rPr>
        <w:t xml:space="preserve">setting up of a digital platform to ensure transparency and to facilitate stakeholder and citizen engagement, including building of EU missions community through a multilingual approach.  </w:t>
      </w:r>
    </w:p>
    <w:p w14:paraId="543D7514" w14:textId="77777777" w:rsidR="00401FAE" w:rsidRDefault="00787C76">
      <w:r>
        <w:rPr>
          <w:u w:val="single"/>
        </w:rPr>
        <w:t>Form of Funding</w:t>
      </w:r>
      <w:r>
        <w:t>: Procurement</w:t>
      </w:r>
    </w:p>
    <w:p w14:paraId="54C173BB" w14:textId="77777777" w:rsidR="00401FAE" w:rsidRDefault="00787C76">
      <w:r>
        <w:rPr>
          <w:u w:val="single"/>
        </w:rPr>
        <w:t>Type of Action</w:t>
      </w:r>
      <w:r>
        <w:t>: Public procurement</w:t>
      </w:r>
    </w:p>
    <w:p w14:paraId="1C81A341" w14:textId="77777777" w:rsidR="00401FAE" w:rsidRDefault="00787C76">
      <w:r>
        <w:rPr>
          <w:u w:val="single"/>
        </w:rPr>
        <w:t>Indicative timetable</w:t>
      </w:r>
      <w:r>
        <w:t xml:space="preserve">: 2nd Quarter 2021 – 2nd Quarter 2022 </w:t>
      </w:r>
    </w:p>
    <w:p w14:paraId="3460B1AE" w14:textId="77777777" w:rsidR="00401FAE" w:rsidRDefault="00787C76">
      <w:r>
        <w:rPr>
          <w:u w:val="single"/>
        </w:rPr>
        <w:t>Indicative budget</w:t>
      </w:r>
      <w:r>
        <w:t>: EUR 2.00 million from the 2021 budget</w:t>
      </w:r>
      <w:r>
        <w:rPr>
          <w:vertAlign w:val="superscript"/>
        </w:rPr>
        <w:footnoteReference w:id="92"/>
      </w:r>
    </w:p>
    <w:p w14:paraId="7C8D3B78" w14:textId="77777777" w:rsidR="00401FAE" w:rsidRDefault="00787C76">
      <w:pPr>
        <w:pStyle w:val="HeadingThree"/>
      </w:pPr>
      <w:bookmarkStart w:id="35" w:name="_Toc69807969"/>
      <w:r>
        <w:t>2. Procurement actions to support the mission on cancer</w:t>
      </w:r>
      <w:bookmarkEnd w:id="35"/>
    </w:p>
    <w:p w14:paraId="512F73F0" w14:textId="77777777" w:rsidR="00401FAE" w:rsidRDefault="00787C76">
      <w:r>
        <w:rPr>
          <w:b/>
          <w:color w:val="000000"/>
          <w:u w:val="single"/>
        </w:rPr>
        <w:t xml:space="preserve">Description: </w:t>
      </w:r>
      <w:r>
        <w:rPr>
          <w:color w:val="000000"/>
        </w:rPr>
        <w:t xml:space="preserve">Complementing the intervention area </w:t>
      </w:r>
      <w:r>
        <w:rPr>
          <w:i/>
          <w:color w:val="000000"/>
        </w:rPr>
        <w:t>Understanding</w:t>
      </w:r>
      <w:r>
        <w:rPr>
          <w:color w:val="000000"/>
        </w:rPr>
        <w:t xml:space="preserve"> (call topic HORIZON-MISS-2021-UNCAN-01), procurement actions are foreseen in the intervention areas: </w:t>
      </w:r>
      <w:r>
        <w:rPr>
          <w:i/>
          <w:color w:val="000000"/>
        </w:rPr>
        <w:t>Preventing the preventable</w:t>
      </w:r>
      <w:r>
        <w:rPr>
          <w:color w:val="000000"/>
        </w:rPr>
        <w:t xml:space="preserve">, </w:t>
      </w:r>
      <w:r>
        <w:rPr>
          <w:i/>
          <w:color w:val="000000"/>
        </w:rPr>
        <w:t>Optimising diagnosis and treatment</w:t>
      </w:r>
      <w:r>
        <w:rPr>
          <w:color w:val="000000"/>
        </w:rPr>
        <w:t xml:space="preserve">, and </w:t>
      </w:r>
      <w:r>
        <w:rPr>
          <w:i/>
          <w:color w:val="000000"/>
        </w:rPr>
        <w:t>Quality of life</w:t>
      </w:r>
      <w:r>
        <w:rPr>
          <w:color w:val="000000"/>
        </w:rPr>
        <w:t xml:space="preserve">. The fifth intervention area, </w:t>
      </w:r>
      <w:r>
        <w:rPr>
          <w:i/>
          <w:color w:val="000000"/>
        </w:rPr>
        <w:t>Equitable access</w:t>
      </w:r>
      <w:r>
        <w:rPr>
          <w:color w:val="000000"/>
        </w:rPr>
        <w:t>, will be systematically addressed in each of these procurement actions. Results of procurement actions are expected to provide clear and quick answers to fine-tune bold yet realistic mission actions under preparation, including implementation, timing, infrastructural challenges, and governance.</w:t>
      </w:r>
    </w:p>
    <w:p w14:paraId="247F9615" w14:textId="77777777" w:rsidR="00401FAE" w:rsidRDefault="00787C76" w:rsidP="00787C76">
      <w:pPr>
        <w:pStyle w:val="Paragraphedeliste"/>
        <w:numPr>
          <w:ilvl w:val="0"/>
          <w:numId w:val="38"/>
        </w:numPr>
      </w:pPr>
      <w:r>
        <w:rPr>
          <w:b/>
          <w:color w:val="000000"/>
          <w:u w:val="single"/>
        </w:rPr>
        <w:t>Prevent the preventable</w:t>
      </w:r>
      <w:r>
        <w:rPr>
          <w:color w:val="000000"/>
        </w:rPr>
        <w:t xml:space="preserve"> </w:t>
      </w:r>
    </w:p>
    <w:p w14:paraId="4DAD5994" w14:textId="77777777" w:rsidR="00401FAE" w:rsidRDefault="00787C76">
      <w:r>
        <w:rPr>
          <w:color w:val="000000"/>
        </w:rPr>
        <w:t>A SWOT study on cancer registries and cancer registration in EU-27 and Associated countries; A SWOT study on enviromental, social, and commercial determinants of health in EU-27 and Associated countries; A study on cancer-health literacy in EU-27 and Associated countries (see also HORIZON-HLTH-STAYHLTH-2021-01-03: Supporting digital empowerment and health literacy – Healthy citizens 2.0).</w:t>
      </w:r>
    </w:p>
    <w:p w14:paraId="0E525437" w14:textId="77777777" w:rsidR="00401FAE" w:rsidRDefault="00787C76" w:rsidP="00787C76">
      <w:pPr>
        <w:pStyle w:val="Paragraphedeliste"/>
        <w:numPr>
          <w:ilvl w:val="0"/>
          <w:numId w:val="39"/>
        </w:numPr>
      </w:pPr>
      <w:r>
        <w:rPr>
          <w:b/>
          <w:color w:val="000000"/>
          <w:u w:val="single"/>
        </w:rPr>
        <w:t>Optimise diagnosis and treatment</w:t>
      </w:r>
      <w:r>
        <w:rPr>
          <w:color w:val="000000"/>
        </w:rPr>
        <w:t xml:space="preserve"> </w:t>
      </w:r>
    </w:p>
    <w:p w14:paraId="07758678" w14:textId="77777777" w:rsidR="00401FAE" w:rsidRDefault="00787C76">
      <w:r>
        <w:rPr>
          <w:color w:val="000000"/>
        </w:rPr>
        <w:t>A SWOT study on the comprehensiveness of cancer care infrastructures in EU-27 and Associated countries to assess national/regional capacity to support cancer control, including quality standards, staffing and resources (such as training of healthcare professionals, digitalisation and equipment), and economic aspects; A SWOT study on interest and feasibility of a pragmatic, co-funded clinical trial program in EU-27 and Associated countries.</w:t>
      </w:r>
    </w:p>
    <w:p w14:paraId="42B45DD2" w14:textId="77777777" w:rsidR="00401FAE" w:rsidRDefault="00787C76" w:rsidP="00787C76">
      <w:pPr>
        <w:pStyle w:val="Paragraphedeliste"/>
        <w:numPr>
          <w:ilvl w:val="0"/>
          <w:numId w:val="40"/>
        </w:numPr>
      </w:pPr>
      <w:r>
        <w:rPr>
          <w:b/>
          <w:color w:val="000000"/>
          <w:u w:val="single"/>
        </w:rPr>
        <w:t>Quality of life</w:t>
      </w:r>
      <w:r>
        <w:rPr>
          <w:color w:val="000000"/>
        </w:rPr>
        <w:t xml:space="preserve"> </w:t>
      </w:r>
    </w:p>
    <w:p w14:paraId="1C800BEC" w14:textId="77777777" w:rsidR="00401FAE" w:rsidRDefault="00787C76">
      <w:r>
        <w:rPr>
          <w:color w:val="000000"/>
        </w:rPr>
        <w:t>A SWOT study on feasibility, utility and sustainability of a virtual European cancer patient digital centre (with references to the European Health Data Space, Digital Europe, ESFRI Infrastructures and JRC Work Programmes).</w:t>
      </w:r>
    </w:p>
    <w:p w14:paraId="77560CE9" w14:textId="77777777" w:rsidR="00401FAE" w:rsidRDefault="00787C76">
      <w:r>
        <w:rPr>
          <w:u w:val="single"/>
        </w:rPr>
        <w:t>Form of Funding</w:t>
      </w:r>
      <w:r>
        <w:t>: Procurement</w:t>
      </w:r>
    </w:p>
    <w:p w14:paraId="3B3A3EFB" w14:textId="77777777" w:rsidR="00401FAE" w:rsidRDefault="00787C76">
      <w:r>
        <w:rPr>
          <w:u w:val="single"/>
        </w:rPr>
        <w:t>Type of Action</w:t>
      </w:r>
      <w:r>
        <w:t>: Public procurement</w:t>
      </w:r>
    </w:p>
    <w:p w14:paraId="448EF23C" w14:textId="77777777" w:rsidR="00401FAE" w:rsidRDefault="00787C76">
      <w:r>
        <w:rPr>
          <w:u w:val="single"/>
        </w:rPr>
        <w:t>Indicative timetable</w:t>
      </w:r>
      <w:r>
        <w:t>: 2nd Quarter 2021 – 3rd Quarter 2021</w:t>
      </w:r>
    </w:p>
    <w:p w14:paraId="3AEFB37A" w14:textId="77777777" w:rsidR="00401FAE" w:rsidRDefault="00787C76">
      <w:r>
        <w:rPr>
          <w:u w:val="single"/>
        </w:rPr>
        <w:t>Indicative budget</w:t>
      </w:r>
      <w:r>
        <w:t>: EUR 2.00 million from the 2021 budget</w:t>
      </w:r>
      <w:r>
        <w:rPr>
          <w:vertAlign w:val="superscript"/>
        </w:rPr>
        <w:footnoteReference w:id="93"/>
      </w:r>
    </w:p>
    <w:p w14:paraId="18C51455" w14:textId="77777777" w:rsidR="00401FAE" w:rsidRDefault="00787C76">
      <w:pPr>
        <w:pStyle w:val="HeadingTwo"/>
      </w:pPr>
      <w:bookmarkStart w:id="36" w:name="_Toc69807970"/>
      <w:r>
        <w:t>Other budget implementation instruments</w:t>
      </w:r>
      <w:bookmarkEnd w:id="36"/>
    </w:p>
    <w:p w14:paraId="5BA9BF85" w14:textId="77777777" w:rsidR="00401FAE" w:rsidRDefault="00787C76">
      <w:pPr>
        <w:pStyle w:val="HeadingThree"/>
      </w:pPr>
      <w:bookmarkStart w:id="37" w:name="_Toc69807971"/>
      <w:r>
        <w:t>1. External expertise for advice on the next phases of the design and implementation of missions for Horizon Europe</w:t>
      </w:r>
      <w:bookmarkEnd w:id="37"/>
      <w:r>
        <w:t xml:space="preserve"> </w:t>
      </w:r>
    </w:p>
    <w:p w14:paraId="1A252577" w14:textId="77777777" w:rsidR="00401FAE" w:rsidRDefault="00787C76">
      <w:r>
        <w:rPr>
          <w:b/>
          <w:color w:val="000000"/>
          <w:u w:val="single"/>
        </w:rPr>
        <w:t>Objectives and scope:</w:t>
      </w:r>
    </w:p>
    <w:p w14:paraId="1E1AF909" w14:textId="77777777" w:rsidR="00401FAE" w:rsidRDefault="00787C76">
      <w:r>
        <w:rPr>
          <w:color w:val="000000"/>
        </w:rPr>
        <w:t xml:space="preserve">Subject to the decision to launch missions to the full implementation phase, and in line with the Specific Programme implementing Horizon Europe – the Framework Programme for Research and Innovation, the objective is to create five new expert groups (mission boards), with up to 15 experts in each, to provide advice which will support the work of the European Commission in the implementation phase of specific missions for Horizon Europe. </w:t>
      </w:r>
    </w:p>
    <w:p w14:paraId="0BD08798" w14:textId="77777777" w:rsidR="00401FAE" w:rsidRDefault="00787C76">
      <w:r>
        <w:rPr>
          <w:color w:val="000000"/>
        </w:rPr>
        <w:t>These specific missions are based on five mission areas:</w:t>
      </w:r>
    </w:p>
    <w:p w14:paraId="59EE83F8" w14:textId="77777777" w:rsidR="00401FAE" w:rsidRDefault="00787C76" w:rsidP="00787C76">
      <w:pPr>
        <w:pStyle w:val="Paragraphedeliste"/>
        <w:numPr>
          <w:ilvl w:val="0"/>
          <w:numId w:val="41"/>
        </w:numPr>
      </w:pPr>
      <w:r>
        <w:rPr>
          <w:color w:val="000000"/>
        </w:rPr>
        <w:t>Cancer</w:t>
      </w:r>
    </w:p>
    <w:p w14:paraId="2E49B250" w14:textId="77777777" w:rsidR="00401FAE" w:rsidRDefault="00787C76" w:rsidP="00787C76">
      <w:pPr>
        <w:pStyle w:val="Paragraphedeliste"/>
        <w:numPr>
          <w:ilvl w:val="0"/>
          <w:numId w:val="41"/>
        </w:numPr>
      </w:pPr>
      <w:r>
        <w:rPr>
          <w:color w:val="000000"/>
        </w:rPr>
        <w:t>Adaptation to climate change</w:t>
      </w:r>
    </w:p>
    <w:p w14:paraId="5C4A6C25" w14:textId="77777777" w:rsidR="00401FAE" w:rsidRDefault="00787C76" w:rsidP="00787C76">
      <w:pPr>
        <w:pStyle w:val="Paragraphedeliste"/>
        <w:numPr>
          <w:ilvl w:val="0"/>
          <w:numId w:val="41"/>
        </w:numPr>
      </w:pPr>
      <w:r>
        <w:rPr>
          <w:color w:val="000000"/>
        </w:rPr>
        <w:t>Ocean, seas and waters</w:t>
      </w:r>
    </w:p>
    <w:p w14:paraId="2E23B36A" w14:textId="77777777" w:rsidR="00401FAE" w:rsidRDefault="00787C76" w:rsidP="00787C76">
      <w:pPr>
        <w:pStyle w:val="Paragraphedeliste"/>
        <w:numPr>
          <w:ilvl w:val="0"/>
          <w:numId w:val="41"/>
        </w:numPr>
      </w:pPr>
      <w:r>
        <w:rPr>
          <w:color w:val="000000"/>
        </w:rPr>
        <w:t>Climate-neutral and smart cities</w:t>
      </w:r>
    </w:p>
    <w:p w14:paraId="2AA6B988" w14:textId="77777777" w:rsidR="00401FAE" w:rsidRDefault="00787C76" w:rsidP="00787C76">
      <w:pPr>
        <w:pStyle w:val="Paragraphedeliste"/>
        <w:numPr>
          <w:ilvl w:val="0"/>
          <w:numId w:val="41"/>
        </w:numPr>
      </w:pPr>
      <w:r>
        <w:rPr>
          <w:color w:val="000000"/>
        </w:rPr>
        <w:t xml:space="preserve">Soil health and food  </w:t>
      </w:r>
    </w:p>
    <w:p w14:paraId="59286FF2" w14:textId="77777777" w:rsidR="00401FAE" w:rsidRDefault="00787C76">
      <w:r>
        <w:rPr>
          <w:color w:val="000000"/>
        </w:rPr>
        <w:t xml:space="preserve">Missions are currently in the preparatory phase and subject to confirmation will be launched in full by the end of 2021. The scope of work for the expert groups will be centred on the whole of the Pillar ‘Global Challenges and Competitiveness of European Industry' under Horizon Europe. </w:t>
      </w:r>
    </w:p>
    <w:p w14:paraId="7F5B7313" w14:textId="77777777" w:rsidR="00401FAE" w:rsidRDefault="00787C76">
      <w:r>
        <w:rPr>
          <w:b/>
          <w:color w:val="000000"/>
          <w:u w:val="single"/>
        </w:rPr>
        <w:t>Type of advice:</w:t>
      </w:r>
    </w:p>
    <w:p w14:paraId="725A89C6" w14:textId="77777777" w:rsidR="00401FAE" w:rsidRDefault="00787C76">
      <w:r>
        <w:rPr>
          <w:color w:val="000000"/>
        </w:rPr>
        <w:t>The experts to be included in the expert groups will be required to provide advice based on deep knowledge on fields corresponding to the implementation of mission oriented programmes corresponding to those of the missions that are proposed above, including knowledge in business, economic social and environmental programmes, research and innovation and expertise in cross-sector/cross-border collaboration, governance, citizen engagement etc., as well as country and regional interests. It will include advice on achieving synergies between Horizon Europe missions and other EU programmes and policy areas, and with similar style missions at the national level, taking into account the international research and innovation field.</w:t>
      </w:r>
    </w:p>
    <w:p w14:paraId="16646419" w14:textId="77777777" w:rsidR="00401FAE" w:rsidRDefault="00787C76">
      <w:r>
        <w:rPr>
          <w:b/>
          <w:color w:val="000000"/>
          <w:u w:val="single"/>
        </w:rPr>
        <w:t>Description of the mandate/tasks</w:t>
      </w:r>
    </w:p>
    <w:p w14:paraId="2460CD9A" w14:textId="77777777" w:rsidR="00401FAE" w:rsidRDefault="00787C76">
      <w:r>
        <w:rPr>
          <w:color w:val="000000"/>
        </w:rPr>
        <w:t xml:space="preserve">Each informal expert group will have the same set of advisory tasks, relevant to its mission. It will advise, without having decision-making powers, the Commission upon the following:  </w:t>
      </w:r>
    </w:p>
    <w:p w14:paraId="30BC6177" w14:textId="77777777" w:rsidR="00401FAE" w:rsidRDefault="00787C76" w:rsidP="00787C76">
      <w:pPr>
        <w:pStyle w:val="Paragraphedeliste"/>
        <w:numPr>
          <w:ilvl w:val="0"/>
          <w:numId w:val="42"/>
        </w:numPr>
      </w:pPr>
      <w:r>
        <w:rPr>
          <w:color w:val="000000"/>
        </w:rPr>
        <w:t xml:space="preserve">Input to the preparation of content of Work Programmes and their revision as needed for achieving the mission objectives, with input from stakeholders and, where relevant, the general public; </w:t>
      </w:r>
    </w:p>
    <w:p w14:paraId="45F3E7E0" w14:textId="77777777" w:rsidR="00401FAE" w:rsidRDefault="00787C76" w:rsidP="00787C76">
      <w:pPr>
        <w:pStyle w:val="Paragraphedeliste"/>
        <w:numPr>
          <w:ilvl w:val="0"/>
          <w:numId w:val="42"/>
        </w:numPr>
      </w:pPr>
      <w:r>
        <w:rPr>
          <w:color w:val="000000"/>
        </w:rPr>
        <w:t xml:space="preserve">characteristics of project portfolios for missions; </w:t>
      </w:r>
    </w:p>
    <w:p w14:paraId="39134774" w14:textId="77777777" w:rsidR="00401FAE" w:rsidRDefault="00787C76" w:rsidP="00787C76">
      <w:pPr>
        <w:pStyle w:val="Paragraphedeliste"/>
        <w:numPr>
          <w:ilvl w:val="0"/>
          <w:numId w:val="42"/>
        </w:numPr>
      </w:pPr>
      <w:r>
        <w:rPr>
          <w:color w:val="000000"/>
        </w:rPr>
        <w:t xml:space="preserve">adjustment actions, or termination if appropriate, based on implementation assessments according to the defined objectives of the mission; </w:t>
      </w:r>
    </w:p>
    <w:p w14:paraId="33A90721" w14:textId="77777777" w:rsidR="00401FAE" w:rsidRDefault="00787C76" w:rsidP="00787C76">
      <w:pPr>
        <w:pStyle w:val="Paragraphedeliste"/>
        <w:numPr>
          <w:ilvl w:val="0"/>
          <w:numId w:val="42"/>
        </w:numPr>
      </w:pPr>
      <w:r>
        <w:rPr>
          <w:color w:val="000000"/>
        </w:rPr>
        <w:t xml:space="preserve">strategic advice on the profile of independent expert evaluators following the provisions of the Framework Programme, briefing of expert evaluators and evaluation criteria and their weighting; </w:t>
      </w:r>
    </w:p>
    <w:p w14:paraId="76835C98" w14:textId="77777777" w:rsidR="00401FAE" w:rsidRDefault="00787C76" w:rsidP="00787C76">
      <w:pPr>
        <w:pStyle w:val="Paragraphedeliste"/>
        <w:numPr>
          <w:ilvl w:val="0"/>
          <w:numId w:val="42"/>
        </w:numPr>
      </w:pPr>
      <w:r>
        <w:rPr>
          <w:color w:val="000000"/>
        </w:rPr>
        <w:t xml:space="preserve">framework conditions which help achieve the objectives of the mission; </w:t>
      </w:r>
    </w:p>
    <w:p w14:paraId="28842ABB" w14:textId="77777777" w:rsidR="00401FAE" w:rsidRDefault="00787C76" w:rsidP="00787C76">
      <w:pPr>
        <w:pStyle w:val="Paragraphedeliste"/>
        <w:numPr>
          <w:ilvl w:val="0"/>
          <w:numId w:val="42"/>
        </w:numPr>
      </w:pPr>
      <w:r>
        <w:rPr>
          <w:color w:val="000000"/>
        </w:rPr>
        <w:t xml:space="preserve">communication, including on the performance and the achievements of the mission; </w:t>
      </w:r>
    </w:p>
    <w:p w14:paraId="716816FB" w14:textId="77777777" w:rsidR="00401FAE" w:rsidRDefault="00787C76" w:rsidP="00787C76">
      <w:pPr>
        <w:pStyle w:val="Paragraphedeliste"/>
        <w:numPr>
          <w:ilvl w:val="0"/>
          <w:numId w:val="42"/>
        </w:numPr>
      </w:pPr>
      <w:r>
        <w:rPr>
          <w:color w:val="000000"/>
        </w:rPr>
        <w:t xml:space="preserve">policy coordination between relevant actors at different levels, in particular regarding synergies with other Union policies; </w:t>
      </w:r>
    </w:p>
    <w:p w14:paraId="41468D3A" w14:textId="77777777" w:rsidR="00401FAE" w:rsidRDefault="00787C76" w:rsidP="00787C76">
      <w:pPr>
        <w:pStyle w:val="Paragraphedeliste"/>
        <w:numPr>
          <w:ilvl w:val="0"/>
          <w:numId w:val="42"/>
        </w:numPr>
      </w:pPr>
      <w:r>
        <w:rPr>
          <w:color w:val="000000"/>
        </w:rPr>
        <w:t xml:space="preserve">key performance indicators.  </w:t>
      </w:r>
    </w:p>
    <w:p w14:paraId="4AA4AF3B" w14:textId="77777777" w:rsidR="00401FAE" w:rsidRDefault="00787C76">
      <w:r>
        <w:rPr>
          <w:color w:val="000000"/>
        </w:rPr>
        <w:t>The advisory role of the mission boards will be very closely managed in support of the dialogue with the Member States and countries associated to Horizon Europe, and to respect conflict of interest and confidentiality notably when pertaining to the Horizon Europe work programme and on evaluation aspects.</w:t>
      </w:r>
    </w:p>
    <w:p w14:paraId="2AE33703" w14:textId="77777777" w:rsidR="00401FAE" w:rsidRDefault="00787C76">
      <w:r>
        <w:rPr>
          <w:color w:val="000000"/>
        </w:rPr>
        <w:t xml:space="preserve">The mission boards will provide high-level advice to the Commission of such a nature that without their input the implementation of missions would not achieve the desired large scale and breadth of impact. In light of this, and as highly qualified, specialised, independent experts who will be selected following a public call for applications, on the basis of objective criteria, it is justified that the members of the mission boards will be remunerated for the services they offer pursuant Article 21 of the horizontal rules. </w:t>
      </w:r>
    </w:p>
    <w:p w14:paraId="69C239FD" w14:textId="77777777" w:rsidR="00401FAE" w:rsidRDefault="00787C76">
      <w:r>
        <w:rPr>
          <w:color w:val="000000"/>
        </w:rPr>
        <w:t xml:space="preserve">A special allowance of EUR 450/day for each full working day spent assisting the Commission in terms of Article 21 of Decision C (2016)3301 will be paid to the experts appointed in their personal capacity who act independently and in the public interest. </w:t>
      </w:r>
    </w:p>
    <w:p w14:paraId="5B379F30" w14:textId="77777777" w:rsidR="00401FAE" w:rsidRDefault="00787C76">
      <w:r>
        <w:rPr>
          <w:u w:val="single"/>
        </w:rPr>
        <w:t>Form of Funding</w:t>
      </w:r>
      <w:r>
        <w:t>: Other budget implementation instruments</w:t>
      </w:r>
    </w:p>
    <w:p w14:paraId="7FE2CD13" w14:textId="77777777" w:rsidR="00401FAE" w:rsidRDefault="00787C76">
      <w:r>
        <w:rPr>
          <w:u w:val="single"/>
        </w:rPr>
        <w:t>Type of Action</w:t>
      </w:r>
      <w:r>
        <w:t>: Expert contract action</w:t>
      </w:r>
    </w:p>
    <w:p w14:paraId="3AE24D89" w14:textId="77777777" w:rsidR="00401FAE" w:rsidRDefault="00787C76">
      <w:r>
        <w:rPr>
          <w:u w:val="single"/>
        </w:rPr>
        <w:t>Indicative timetable</w:t>
      </w:r>
      <w:r>
        <w:t xml:space="preserve">: 3rd Quarter of 2021 to 4th Quarter of 2022 (to be extended subject to the confirmation of the missions in the implementation phase). </w:t>
      </w:r>
    </w:p>
    <w:p w14:paraId="16C54F86" w14:textId="77777777" w:rsidR="00401FAE" w:rsidRDefault="00787C76">
      <w:r>
        <w:rPr>
          <w:u w:val="single"/>
        </w:rPr>
        <w:t>Indicative budget</w:t>
      </w:r>
      <w:r>
        <w:t>: EUR 1.50 million from the 2021 budget</w:t>
      </w:r>
      <w:r>
        <w:rPr>
          <w:vertAlign w:val="superscript"/>
        </w:rPr>
        <w:footnoteReference w:id="94"/>
      </w:r>
    </w:p>
    <w:p w14:paraId="2A88777C" w14:textId="77777777" w:rsidR="00401FAE" w:rsidRDefault="00787C76">
      <w:pPr>
        <w:pStyle w:val="HeadingTwo"/>
      </w:pPr>
      <w:bookmarkStart w:id="38" w:name="_Toc69807972"/>
      <w:r>
        <w:t>Scientific and technical services by the Joint Research Centre</w:t>
      </w:r>
      <w:bookmarkEnd w:id="38"/>
    </w:p>
    <w:p w14:paraId="505CA58A" w14:textId="77777777" w:rsidR="00401FAE" w:rsidRDefault="00787C76">
      <w:pPr>
        <w:pStyle w:val="HeadingThree"/>
      </w:pPr>
      <w:bookmarkStart w:id="39" w:name="_Toc69807973"/>
      <w:r>
        <w:t>1. Scientific and technical services to the Mission on ‘Climate-neutral and smart cities’</w:t>
      </w:r>
      <w:r>
        <w:rPr>
          <w:vertAlign w:val="superscript"/>
        </w:rPr>
        <w:footnoteReference w:id="95"/>
      </w:r>
      <w:bookmarkEnd w:id="39"/>
    </w:p>
    <w:p w14:paraId="0D4782A4" w14:textId="77777777" w:rsidR="00401FAE" w:rsidRDefault="00787C76">
      <w:r>
        <w:rPr>
          <w:color w:val="000000"/>
        </w:rPr>
        <w:t xml:space="preserve"> </w:t>
      </w:r>
    </w:p>
    <w:p w14:paraId="0B6B8973" w14:textId="77777777" w:rsidR="00401FAE" w:rsidRDefault="00787C76">
      <w:r>
        <w:rPr>
          <w:color w:val="000000"/>
        </w:rPr>
        <w:t>The purpose of this action is to provide scientific and technical support towards achieving climate-neutrality at urban level, in line with the European Green Deal</w:t>
      </w:r>
      <w:r>
        <w:rPr>
          <w:vertAlign w:val="superscript"/>
        </w:rPr>
        <w:footnoteReference w:id="96"/>
      </w:r>
      <w:r>
        <w:rPr>
          <w:color w:val="000000"/>
        </w:rPr>
        <w:t xml:space="preserve"> objectives and the proposed mission on climate-neutral and smart cities. The activities will provide extended data, methodologies and analysis for accelerating the transition towards climate-neutrality throughout European cities. </w:t>
      </w:r>
    </w:p>
    <w:p w14:paraId="3784B946" w14:textId="77777777" w:rsidR="00401FAE" w:rsidRDefault="00787C76">
      <w:r>
        <w:rPr>
          <w:color w:val="000000"/>
        </w:rPr>
        <w:t>This activity will focus on mapping and supporting European cities’ needs and ambitions to achieve climate-neutrality, through a mission-oriented approach. It will increase cities’ awareness and preparedness, aiming at widening participation and tackling entry-level barriers. It will also increase knowledge on European cities wide challenges and support the definition of incentive schemes for a wide range of cities. This activity will capitalise on existing proved R&amp;I solutions and packages of measures assessed against existing or new ‘climate-neutrality’ indicators, and will ensure conditions for their transferability between different urban contexts. It should therefore propose a set of indicators to assess impact of solutions, especially to prevent rebound effects and support positive spill-over and it will identify pathways for achieving climate neutrality. Such criteria should also include reflections on climate adaptation spill-over positive and negative effects, contributing to the upcoming New EU Strategy on Adaptation to Climate Change.</w:t>
      </w:r>
      <w:r>
        <w:rPr>
          <w:vertAlign w:val="superscript"/>
        </w:rPr>
        <w:footnoteReference w:id="97"/>
      </w:r>
    </w:p>
    <w:p w14:paraId="79C48A9E" w14:textId="77777777" w:rsidR="00401FAE" w:rsidRDefault="00787C76">
      <w:r>
        <w:rPr>
          <w:color w:val="000000"/>
        </w:rPr>
        <w:t>This activity will be implemented in close coordination with the Commission’s mission owners group.</w:t>
      </w:r>
    </w:p>
    <w:p w14:paraId="0406C796" w14:textId="77777777" w:rsidR="00401FAE" w:rsidRDefault="00787C76">
      <w:r>
        <w:rPr>
          <w:color w:val="000000"/>
        </w:rPr>
        <w:t>The activity will be structured around three main outputs:</w:t>
      </w:r>
    </w:p>
    <w:p w14:paraId="13238675" w14:textId="77777777" w:rsidR="00401FAE" w:rsidRDefault="00787C76" w:rsidP="00787C76">
      <w:pPr>
        <w:pStyle w:val="Paragraphedeliste"/>
        <w:numPr>
          <w:ilvl w:val="0"/>
          <w:numId w:val="43"/>
        </w:numPr>
      </w:pPr>
      <w:r>
        <w:rPr>
          <w:color w:val="000000"/>
        </w:rPr>
        <w:t>Development of a ‘Self-assessment toolkit for cities’ climate-neutrality pathway’;</w:t>
      </w:r>
    </w:p>
    <w:p w14:paraId="54E9FC7C" w14:textId="77777777" w:rsidR="00401FAE" w:rsidRDefault="00787C76" w:rsidP="00787C76">
      <w:pPr>
        <w:pStyle w:val="Paragraphedeliste"/>
        <w:numPr>
          <w:ilvl w:val="0"/>
          <w:numId w:val="43"/>
        </w:numPr>
      </w:pPr>
      <w:r>
        <w:rPr>
          <w:color w:val="000000"/>
        </w:rPr>
        <w:t>Mapping of European cities’ preparedness level and ambition;</w:t>
      </w:r>
    </w:p>
    <w:p w14:paraId="2F8813EA" w14:textId="77777777" w:rsidR="00401FAE" w:rsidRDefault="00787C76" w:rsidP="00787C76">
      <w:pPr>
        <w:pStyle w:val="Paragraphedeliste"/>
        <w:numPr>
          <w:ilvl w:val="0"/>
          <w:numId w:val="43"/>
        </w:numPr>
      </w:pPr>
      <w:r>
        <w:rPr>
          <w:color w:val="000000"/>
        </w:rPr>
        <w:t xml:space="preserve">Mapping of proved R&amp;I solutions and conditions enabling their transferability.  </w:t>
      </w:r>
    </w:p>
    <w:p w14:paraId="1270BCF2" w14:textId="77777777" w:rsidR="00401FAE" w:rsidRDefault="00787C76">
      <w:r>
        <w:rPr>
          <w:color w:val="000000"/>
        </w:rPr>
        <w:t>The listed activities should ensure the uptake and capitalisation of the existing European urban initiatives and policies, while also considering the necessary interaction with the one-stop-shop to be established under the Horizon 2020 topic LC-GD-1-2-2020 on ‘Towards Climate-Neutral and Socially Innovative Cities’</w:t>
      </w:r>
      <w:r>
        <w:rPr>
          <w:vertAlign w:val="superscript"/>
        </w:rPr>
        <w:footnoteReference w:id="98"/>
      </w:r>
      <w:r>
        <w:rPr>
          <w:color w:val="000000"/>
        </w:rPr>
        <w:t>. The action should last indicatively one year, starting with the mapping of European cities preparedness level and ambition as an intermediate milestone.</w:t>
      </w:r>
    </w:p>
    <w:p w14:paraId="0A0D4797" w14:textId="77777777" w:rsidR="00401FAE" w:rsidRDefault="00787C76">
      <w:r>
        <w:rPr>
          <w:u w:val="single"/>
        </w:rPr>
        <w:t>Form of Funding</w:t>
      </w:r>
      <w:r>
        <w:t>: Direct action grants</w:t>
      </w:r>
    </w:p>
    <w:p w14:paraId="3A801DC2" w14:textId="77777777" w:rsidR="00401FAE" w:rsidRDefault="00787C76">
      <w:r>
        <w:rPr>
          <w:u w:val="single"/>
        </w:rPr>
        <w:t>Type of Action</w:t>
      </w:r>
      <w:r>
        <w:t>: Provision of technical/scientific services by the Joint Research Centre</w:t>
      </w:r>
    </w:p>
    <w:p w14:paraId="60027444" w14:textId="77777777" w:rsidR="00401FAE" w:rsidRDefault="00787C76">
      <w:r>
        <w:rPr>
          <w:u w:val="single"/>
        </w:rPr>
        <w:t>Indicative timetable</w:t>
      </w:r>
      <w:r>
        <w:t xml:space="preserve">: 2nd Quarter of 2021 </w:t>
      </w:r>
    </w:p>
    <w:p w14:paraId="593337E8" w14:textId="77777777" w:rsidR="00401FAE" w:rsidRDefault="00787C76">
      <w:r>
        <w:rPr>
          <w:u w:val="single"/>
        </w:rPr>
        <w:t>Indicative budget</w:t>
      </w:r>
      <w:r>
        <w:t>: EUR 1.00 million from the 2021 budget</w:t>
      </w:r>
      <w:r>
        <w:rPr>
          <w:vertAlign w:val="superscript"/>
        </w:rPr>
        <w:footnoteReference w:id="99"/>
      </w:r>
    </w:p>
    <w:p w14:paraId="1CF4AC01" w14:textId="77777777" w:rsidR="00401FAE" w:rsidRDefault="00787C76">
      <w:pPr>
        <w:pStyle w:val="HeadingTwo"/>
      </w:pPr>
      <w:bookmarkStart w:id="40" w:name="_Toc69807974"/>
      <w:r>
        <w:t>Grant to identified beneficiaries</w:t>
      </w:r>
      <w:bookmarkEnd w:id="40"/>
    </w:p>
    <w:p w14:paraId="71776B57" w14:textId="77777777" w:rsidR="00401FAE" w:rsidRDefault="00787C76">
      <w:pPr>
        <w:pStyle w:val="HeadingThree"/>
      </w:pPr>
      <w:bookmarkStart w:id="41" w:name="_Toc69807975"/>
      <w:r>
        <w:t xml:space="preserve">1. OECD Benchmarking Study on Missions Implementation </w:t>
      </w:r>
      <w:r>
        <w:rPr>
          <w:vertAlign w:val="superscript"/>
        </w:rPr>
        <w:footnoteReference w:id="100"/>
      </w:r>
      <w:bookmarkEnd w:id="41"/>
    </w:p>
    <w:p w14:paraId="0D5DE5AA" w14:textId="77777777" w:rsidR="00401FAE" w:rsidRDefault="00787C76">
      <w:r>
        <w:rPr>
          <w:b/>
          <w:color w:val="000000"/>
          <w:u w:val="single"/>
        </w:rPr>
        <w:t>Expected outcomes:</w:t>
      </w:r>
    </w:p>
    <w:p w14:paraId="66406460" w14:textId="77777777" w:rsidR="00401FAE" w:rsidRDefault="00787C76">
      <w:r>
        <w:rPr>
          <w:b/>
          <w:color w:val="000000"/>
        </w:rPr>
        <w:t xml:space="preserve">The action would be expected to provide: </w:t>
      </w:r>
    </w:p>
    <w:p w14:paraId="4F57AADD" w14:textId="77777777" w:rsidR="00401FAE" w:rsidRDefault="00787C76" w:rsidP="00787C76">
      <w:pPr>
        <w:pStyle w:val="Paragraphedeliste"/>
        <w:numPr>
          <w:ilvl w:val="0"/>
          <w:numId w:val="44"/>
        </w:numPr>
      </w:pPr>
      <w:r>
        <w:rPr>
          <w:color w:val="000000"/>
        </w:rPr>
        <w:t xml:space="preserve">Principles and measures of performance built into design of missions’ governance, notably between national and regional and local actions; </w:t>
      </w:r>
    </w:p>
    <w:p w14:paraId="7142C104" w14:textId="77777777" w:rsidR="00401FAE" w:rsidRDefault="00787C76" w:rsidP="00787C76">
      <w:pPr>
        <w:pStyle w:val="Paragraphedeliste"/>
        <w:numPr>
          <w:ilvl w:val="0"/>
          <w:numId w:val="44"/>
        </w:numPr>
      </w:pPr>
      <w:r>
        <w:rPr>
          <w:color w:val="000000"/>
        </w:rPr>
        <w:t xml:space="preserve">Adopted process and procedure for portfolio implementation, including selection criteria; </w:t>
      </w:r>
    </w:p>
    <w:p w14:paraId="28F3A367" w14:textId="77777777" w:rsidR="00401FAE" w:rsidRDefault="00787C76" w:rsidP="00787C76">
      <w:pPr>
        <w:pStyle w:val="Paragraphedeliste"/>
        <w:numPr>
          <w:ilvl w:val="0"/>
          <w:numId w:val="44"/>
        </w:numPr>
      </w:pPr>
      <w:r>
        <w:rPr>
          <w:color w:val="000000"/>
        </w:rPr>
        <w:t xml:space="preserve">Diffusion and extension of pathways for inter-connecting missions at national, regional and local level.  </w:t>
      </w:r>
    </w:p>
    <w:p w14:paraId="25D05E17" w14:textId="77777777" w:rsidR="00401FAE" w:rsidRDefault="00787C76">
      <w:r>
        <w:rPr>
          <w:b/>
          <w:color w:val="000000"/>
          <w:u w:val="single"/>
        </w:rPr>
        <w:t>Expected impact:</w:t>
      </w:r>
    </w:p>
    <w:p w14:paraId="45B6709F" w14:textId="77777777" w:rsidR="00401FAE" w:rsidRDefault="00787C76" w:rsidP="00787C76">
      <w:pPr>
        <w:pStyle w:val="Paragraphedeliste"/>
        <w:numPr>
          <w:ilvl w:val="0"/>
          <w:numId w:val="45"/>
        </w:numPr>
      </w:pPr>
      <w:r>
        <w:rPr>
          <w:color w:val="000000"/>
        </w:rPr>
        <w:t xml:space="preserve">European eco-system for sustained mission performance.  </w:t>
      </w:r>
    </w:p>
    <w:p w14:paraId="030B5C8E" w14:textId="77777777" w:rsidR="00401FAE" w:rsidRDefault="00787C76">
      <w:r>
        <w:rPr>
          <w:b/>
          <w:color w:val="000000"/>
          <w:u w:val="single"/>
        </w:rPr>
        <w:t xml:space="preserve">Scope: </w:t>
      </w:r>
    </w:p>
    <w:p w14:paraId="65EA706D" w14:textId="77777777" w:rsidR="00401FAE" w:rsidRDefault="00787C76">
      <w:r>
        <w:rPr>
          <w:color w:val="000000"/>
        </w:rPr>
        <w:t xml:space="preserve">OECD to provide a benchmarking of practices in relevant countries. </w:t>
      </w:r>
    </w:p>
    <w:p w14:paraId="6DE7F252" w14:textId="77777777" w:rsidR="00401FAE" w:rsidRDefault="00787C76">
      <w:r>
        <w:rPr>
          <w:color w:val="000000"/>
        </w:rPr>
        <w:t xml:space="preserve">This grant will be awarded without a call for proposals according to Article 195 (e) of the Financial Regulation and Article 20 of the Horizon Europe Framework Programme and Rules for Participation to the legal entity identified below as the OECD has unique access to countries where missions have been developed and expertise in the study of mission oriented innovation policies, and the proposed action would build on the recently completed study. </w:t>
      </w:r>
    </w:p>
    <w:p w14:paraId="764813C5" w14:textId="77777777" w:rsidR="00401FAE" w:rsidRDefault="00787C76">
      <w:r>
        <w:rPr>
          <w:color w:val="000000"/>
        </w:rPr>
        <w:t>• The governance of the implementation of missions (allowing in practice to manage/steer a portfolio of activities/instruments);</w:t>
      </w:r>
    </w:p>
    <w:p w14:paraId="462B60A1" w14:textId="77777777" w:rsidR="00401FAE" w:rsidRDefault="00787C76">
      <w:r>
        <w:rPr>
          <w:color w:val="000000"/>
        </w:rPr>
        <w:t>• The processes related to the implementation of a portfolio approach (what selection criteria, what mode of portfolio management);</w:t>
      </w:r>
    </w:p>
    <w:p w14:paraId="0926E845" w14:textId="77777777" w:rsidR="00401FAE" w:rsidRDefault="00787C76">
      <w:r>
        <w:rPr>
          <w:color w:val="000000"/>
        </w:rPr>
        <w:t>• The connections/interlinkages between EU missions and EU Member States, EEA and Associated countries related activities (e.g. joint governance, international cooperation etc.).</w:t>
      </w:r>
    </w:p>
    <w:p w14:paraId="34A94222" w14:textId="77777777" w:rsidR="00401FAE" w:rsidRDefault="00787C76">
      <w:r>
        <w:rPr>
          <w:u w:val="single"/>
        </w:rPr>
        <w:t>Legal entities</w:t>
      </w:r>
      <w:r>
        <w:t xml:space="preserve">: </w:t>
      </w:r>
    </w:p>
    <w:p w14:paraId="5C5AEC7D" w14:textId="77777777" w:rsidR="00401FAE" w:rsidRDefault="00787C76">
      <w:r>
        <w:t>Organisation for Economic Cooperation and Development, 2 Rue André Pascal, 75016 Paris, France</w:t>
      </w:r>
    </w:p>
    <w:p w14:paraId="272F64F5" w14:textId="77777777" w:rsidR="00401FAE" w:rsidRDefault="00787C76">
      <w:r>
        <w:rPr>
          <w:u w:val="single"/>
        </w:rPr>
        <w:t>Form of Funding</w:t>
      </w:r>
      <w:r>
        <w:t>: Grants not subject to calls for proposals</w:t>
      </w:r>
    </w:p>
    <w:p w14:paraId="6040D3E8" w14:textId="77777777" w:rsidR="00401FAE" w:rsidRDefault="00787C76">
      <w:r>
        <w:rPr>
          <w:u w:val="single"/>
        </w:rPr>
        <w:t>Type of Action</w:t>
      </w:r>
      <w:r>
        <w:t>: Grant to identified beneficiary according to Financial Regulation Article 195(e) - Coordination and support action</w:t>
      </w:r>
    </w:p>
    <w:p w14:paraId="320E615F" w14:textId="77777777" w:rsidR="00401FAE" w:rsidRDefault="00787C76">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6CBA372D" w14:textId="77777777" w:rsidR="00401FAE" w:rsidRDefault="00787C76">
      <w:r>
        <w:rPr>
          <w:u w:val="single"/>
        </w:rPr>
        <w:t>Indicative timetable</w:t>
      </w:r>
      <w:r>
        <w:t>: 3rd Quarter 2021 – 3rd Quarter 2022</w:t>
      </w:r>
    </w:p>
    <w:p w14:paraId="3EE3A5FE" w14:textId="77777777" w:rsidR="00401FAE" w:rsidRDefault="00787C76">
      <w:r>
        <w:rPr>
          <w:u w:val="single"/>
        </w:rPr>
        <w:t>Indicative budget</w:t>
      </w:r>
      <w:r>
        <w:t>: EUR 0.15 million from the 2021 budget</w:t>
      </w:r>
      <w:r>
        <w:rPr>
          <w:vertAlign w:val="superscript"/>
        </w:rPr>
        <w:footnoteReference w:id="101"/>
      </w:r>
    </w:p>
    <w:p w14:paraId="3E63E9CC" w14:textId="77777777" w:rsidR="00401FAE" w:rsidRDefault="00787C76">
      <w:pPr>
        <w:pStyle w:val="HeadingOne"/>
        <w:pageBreakBefore/>
      </w:pPr>
      <w:bookmarkStart w:id="42" w:name="_Toc69807976"/>
      <w:r>
        <w:t>Budget</w:t>
      </w:r>
      <w:r>
        <w:rPr>
          <w:vertAlign w:val="superscript"/>
        </w:rPr>
        <w:footnoteReference w:id="102"/>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32"/>
        <w:gridCol w:w="1596"/>
        <w:gridCol w:w="2744"/>
      </w:tblGrid>
      <w:tr w:rsidR="00401FAE" w14:paraId="7A47C0B2" w14:textId="77777777">
        <w:tc>
          <w:tcPr>
            <w:tcW w:w="3000" w:type="dxa"/>
          </w:tcPr>
          <w:p w14:paraId="1A0D1FDD" w14:textId="77777777" w:rsidR="00401FAE" w:rsidRDefault="00401FAE">
            <w:pPr>
              <w:pStyle w:val="CellHeaderTextValue"/>
            </w:pPr>
          </w:p>
        </w:tc>
        <w:tc>
          <w:tcPr>
            <w:tcW w:w="2000" w:type="dxa"/>
          </w:tcPr>
          <w:p w14:paraId="048C1238" w14:textId="77777777" w:rsidR="00401FAE" w:rsidRDefault="00787C76">
            <w:pPr>
              <w:pStyle w:val="CellHeaderTextValue"/>
            </w:pPr>
            <w:r>
              <w:t>Budget line(s)</w:t>
            </w:r>
          </w:p>
        </w:tc>
        <w:tc>
          <w:tcPr>
            <w:tcW w:w="4000" w:type="dxa"/>
          </w:tcPr>
          <w:p w14:paraId="0CA392EA" w14:textId="77777777" w:rsidR="00401FAE" w:rsidRDefault="00787C76">
            <w:pPr>
              <w:pStyle w:val="CellHeaderTextValue"/>
            </w:pPr>
            <w:r>
              <w:t>2021 Budget</w:t>
            </w:r>
            <w:r>
              <w:cr/>
              <w:t>(EUR million)</w:t>
            </w:r>
          </w:p>
        </w:tc>
      </w:tr>
      <w:tr w:rsidR="00787C76" w14:paraId="138F1C81" w14:textId="77777777" w:rsidTr="00787C76">
        <w:tc>
          <w:tcPr>
            <w:tcW w:w="0" w:type="auto"/>
            <w:gridSpan w:val="3"/>
          </w:tcPr>
          <w:p w14:paraId="2DB85484" w14:textId="77777777" w:rsidR="00401FAE" w:rsidRDefault="00787C76">
            <w:pPr>
              <w:pStyle w:val="CellHeaderTextValue"/>
              <w:jc w:val="left"/>
            </w:pPr>
            <w:r>
              <w:rPr>
                <w:b/>
              </w:rPr>
              <w:t>Calls</w:t>
            </w:r>
          </w:p>
        </w:tc>
      </w:tr>
      <w:tr w:rsidR="00401FAE" w14:paraId="2161648C" w14:textId="77777777">
        <w:tc>
          <w:tcPr>
            <w:tcW w:w="0" w:type="auto"/>
            <w:vMerge w:val="restart"/>
          </w:tcPr>
          <w:p w14:paraId="74453E74" w14:textId="77777777" w:rsidR="00401FAE" w:rsidRDefault="00787C76">
            <w:pPr>
              <w:pStyle w:val="CellTextValue"/>
            </w:pPr>
            <w:r>
              <w:t>HORIZON-MISS-2021-CLIMA-01</w:t>
            </w:r>
          </w:p>
        </w:tc>
        <w:tc>
          <w:tcPr>
            <w:tcW w:w="0" w:type="auto"/>
          </w:tcPr>
          <w:p w14:paraId="1F79CDD2" w14:textId="77777777" w:rsidR="00401FAE" w:rsidRDefault="00401FAE">
            <w:pPr>
              <w:pStyle w:val="CellTextValue"/>
            </w:pPr>
          </w:p>
        </w:tc>
        <w:tc>
          <w:tcPr>
            <w:tcW w:w="0" w:type="auto"/>
          </w:tcPr>
          <w:p w14:paraId="1ED9B780" w14:textId="77777777" w:rsidR="00401FAE" w:rsidRDefault="00787C76">
            <w:pPr>
              <w:pStyle w:val="CellTextValueNumeric"/>
            </w:pPr>
            <w:r>
              <w:t>5.00</w:t>
            </w:r>
          </w:p>
        </w:tc>
      </w:tr>
      <w:tr w:rsidR="00401FAE" w14:paraId="36EEC512" w14:textId="77777777">
        <w:tc>
          <w:tcPr>
            <w:tcW w:w="0" w:type="auto"/>
            <w:vMerge/>
          </w:tcPr>
          <w:p w14:paraId="305B076E" w14:textId="77777777" w:rsidR="00401FAE" w:rsidRDefault="00401FAE">
            <w:pPr>
              <w:pStyle w:val="CellTextValue"/>
            </w:pPr>
          </w:p>
        </w:tc>
        <w:tc>
          <w:tcPr>
            <w:tcW w:w="0" w:type="auto"/>
          </w:tcPr>
          <w:p w14:paraId="2F38E61F" w14:textId="77777777" w:rsidR="00401FAE" w:rsidRDefault="00787C76">
            <w:pPr>
              <w:pStyle w:val="CellTextValueGray"/>
            </w:pPr>
            <w:r>
              <w:t>from 01.020240</w:t>
            </w:r>
          </w:p>
        </w:tc>
        <w:tc>
          <w:tcPr>
            <w:tcW w:w="0" w:type="auto"/>
          </w:tcPr>
          <w:p w14:paraId="34E100F7" w14:textId="77777777" w:rsidR="00401FAE" w:rsidRDefault="00787C76">
            <w:pPr>
              <w:pStyle w:val="CellTextValueNumericGray"/>
            </w:pPr>
            <w:r>
              <w:t>1.00</w:t>
            </w:r>
          </w:p>
        </w:tc>
      </w:tr>
      <w:tr w:rsidR="00401FAE" w14:paraId="4849E2BC" w14:textId="77777777">
        <w:tc>
          <w:tcPr>
            <w:tcW w:w="0" w:type="auto"/>
            <w:vMerge/>
          </w:tcPr>
          <w:p w14:paraId="010B0601" w14:textId="77777777" w:rsidR="00401FAE" w:rsidRDefault="00401FAE">
            <w:pPr>
              <w:pStyle w:val="CellTextValue"/>
            </w:pPr>
          </w:p>
        </w:tc>
        <w:tc>
          <w:tcPr>
            <w:tcW w:w="0" w:type="auto"/>
          </w:tcPr>
          <w:p w14:paraId="1EF20C43" w14:textId="77777777" w:rsidR="00401FAE" w:rsidRDefault="00787C76">
            <w:pPr>
              <w:pStyle w:val="CellTextValueGray"/>
            </w:pPr>
            <w:r>
              <w:t>from 01.020250</w:t>
            </w:r>
          </w:p>
        </w:tc>
        <w:tc>
          <w:tcPr>
            <w:tcW w:w="0" w:type="auto"/>
          </w:tcPr>
          <w:p w14:paraId="46CD2D26" w14:textId="77777777" w:rsidR="00401FAE" w:rsidRDefault="00787C76">
            <w:pPr>
              <w:pStyle w:val="CellTextValueNumericGray"/>
            </w:pPr>
            <w:r>
              <w:t>2.50</w:t>
            </w:r>
          </w:p>
        </w:tc>
      </w:tr>
      <w:tr w:rsidR="00401FAE" w14:paraId="541AC065" w14:textId="77777777">
        <w:tc>
          <w:tcPr>
            <w:tcW w:w="0" w:type="auto"/>
            <w:vMerge/>
          </w:tcPr>
          <w:p w14:paraId="558C12DF" w14:textId="77777777" w:rsidR="00401FAE" w:rsidRDefault="00401FAE">
            <w:pPr>
              <w:pStyle w:val="CellTextValue"/>
            </w:pPr>
          </w:p>
        </w:tc>
        <w:tc>
          <w:tcPr>
            <w:tcW w:w="0" w:type="auto"/>
          </w:tcPr>
          <w:p w14:paraId="79BCE746" w14:textId="77777777" w:rsidR="00401FAE" w:rsidRDefault="00787C76">
            <w:pPr>
              <w:pStyle w:val="CellTextValueGray"/>
            </w:pPr>
            <w:r>
              <w:t>from 01.020260</w:t>
            </w:r>
          </w:p>
        </w:tc>
        <w:tc>
          <w:tcPr>
            <w:tcW w:w="0" w:type="auto"/>
          </w:tcPr>
          <w:p w14:paraId="5F0168B5" w14:textId="77777777" w:rsidR="00401FAE" w:rsidRDefault="00787C76">
            <w:pPr>
              <w:pStyle w:val="CellTextValueNumericGray"/>
            </w:pPr>
            <w:r>
              <w:t>1.50</w:t>
            </w:r>
          </w:p>
        </w:tc>
      </w:tr>
      <w:tr w:rsidR="00401FAE" w14:paraId="63030DE3" w14:textId="77777777">
        <w:tc>
          <w:tcPr>
            <w:tcW w:w="0" w:type="auto"/>
            <w:vMerge w:val="restart"/>
          </w:tcPr>
          <w:p w14:paraId="2153B7F6" w14:textId="77777777" w:rsidR="00401FAE" w:rsidRDefault="00787C76">
            <w:pPr>
              <w:pStyle w:val="CellTextValue"/>
            </w:pPr>
            <w:r>
              <w:t>HORIZON-MISS-2021-UNCAN-01</w:t>
            </w:r>
          </w:p>
        </w:tc>
        <w:tc>
          <w:tcPr>
            <w:tcW w:w="0" w:type="auto"/>
          </w:tcPr>
          <w:p w14:paraId="23C526F8" w14:textId="77777777" w:rsidR="00401FAE" w:rsidRDefault="00401FAE">
            <w:pPr>
              <w:pStyle w:val="CellTextValue"/>
            </w:pPr>
          </w:p>
        </w:tc>
        <w:tc>
          <w:tcPr>
            <w:tcW w:w="0" w:type="auto"/>
          </w:tcPr>
          <w:p w14:paraId="5D74C053" w14:textId="77777777" w:rsidR="00401FAE" w:rsidRDefault="00787C76">
            <w:pPr>
              <w:pStyle w:val="CellTextValueNumeric"/>
            </w:pPr>
            <w:r>
              <w:t>3.00</w:t>
            </w:r>
          </w:p>
        </w:tc>
      </w:tr>
      <w:tr w:rsidR="00401FAE" w14:paraId="16406841" w14:textId="77777777">
        <w:tc>
          <w:tcPr>
            <w:tcW w:w="0" w:type="auto"/>
            <w:vMerge/>
          </w:tcPr>
          <w:p w14:paraId="0738A039" w14:textId="77777777" w:rsidR="00401FAE" w:rsidRDefault="00401FAE">
            <w:pPr>
              <w:pStyle w:val="CellTextValue"/>
            </w:pPr>
          </w:p>
        </w:tc>
        <w:tc>
          <w:tcPr>
            <w:tcW w:w="0" w:type="auto"/>
          </w:tcPr>
          <w:p w14:paraId="22676D9F" w14:textId="77777777" w:rsidR="00401FAE" w:rsidRDefault="00787C76">
            <w:pPr>
              <w:pStyle w:val="CellTextValueGray"/>
            </w:pPr>
            <w:r>
              <w:t>from 01.020210</w:t>
            </w:r>
          </w:p>
        </w:tc>
        <w:tc>
          <w:tcPr>
            <w:tcW w:w="0" w:type="auto"/>
          </w:tcPr>
          <w:p w14:paraId="74E5281A" w14:textId="77777777" w:rsidR="00401FAE" w:rsidRDefault="00787C76">
            <w:pPr>
              <w:pStyle w:val="CellTextValueNumericGray"/>
            </w:pPr>
            <w:r>
              <w:t>3.00</w:t>
            </w:r>
          </w:p>
        </w:tc>
      </w:tr>
      <w:tr w:rsidR="00401FAE" w14:paraId="74DB5ADA" w14:textId="77777777">
        <w:tc>
          <w:tcPr>
            <w:tcW w:w="0" w:type="auto"/>
            <w:vMerge w:val="restart"/>
          </w:tcPr>
          <w:p w14:paraId="3FEC545D" w14:textId="77777777" w:rsidR="00401FAE" w:rsidRDefault="00787C76">
            <w:pPr>
              <w:pStyle w:val="CellTextValue"/>
            </w:pPr>
            <w:r>
              <w:t>HORIZON-MISS-2021-OCEAN-01</w:t>
            </w:r>
          </w:p>
        </w:tc>
        <w:tc>
          <w:tcPr>
            <w:tcW w:w="0" w:type="auto"/>
          </w:tcPr>
          <w:p w14:paraId="686D49F3" w14:textId="77777777" w:rsidR="00401FAE" w:rsidRDefault="00401FAE">
            <w:pPr>
              <w:pStyle w:val="CellTextValue"/>
            </w:pPr>
          </w:p>
        </w:tc>
        <w:tc>
          <w:tcPr>
            <w:tcW w:w="0" w:type="auto"/>
          </w:tcPr>
          <w:p w14:paraId="43BAEB22" w14:textId="77777777" w:rsidR="00401FAE" w:rsidRDefault="00787C76">
            <w:pPr>
              <w:pStyle w:val="CellTextValueNumeric"/>
            </w:pPr>
            <w:r>
              <w:t>5.00</w:t>
            </w:r>
          </w:p>
        </w:tc>
      </w:tr>
      <w:tr w:rsidR="00401FAE" w14:paraId="60FF3F31" w14:textId="77777777">
        <w:tc>
          <w:tcPr>
            <w:tcW w:w="0" w:type="auto"/>
            <w:vMerge/>
          </w:tcPr>
          <w:p w14:paraId="1E3965CB" w14:textId="77777777" w:rsidR="00401FAE" w:rsidRDefault="00401FAE">
            <w:pPr>
              <w:pStyle w:val="CellTextValue"/>
            </w:pPr>
          </w:p>
        </w:tc>
        <w:tc>
          <w:tcPr>
            <w:tcW w:w="0" w:type="auto"/>
          </w:tcPr>
          <w:p w14:paraId="1B02D552" w14:textId="77777777" w:rsidR="00401FAE" w:rsidRDefault="00787C76">
            <w:pPr>
              <w:pStyle w:val="CellTextValueGray"/>
            </w:pPr>
            <w:r>
              <w:t>from 01.020250</w:t>
            </w:r>
          </w:p>
        </w:tc>
        <w:tc>
          <w:tcPr>
            <w:tcW w:w="0" w:type="auto"/>
          </w:tcPr>
          <w:p w14:paraId="56BE6395" w14:textId="77777777" w:rsidR="00401FAE" w:rsidRDefault="00787C76">
            <w:pPr>
              <w:pStyle w:val="CellTextValueNumericGray"/>
            </w:pPr>
            <w:r>
              <w:t>2.50</w:t>
            </w:r>
          </w:p>
        </w:tc>
      </w:tr>
      <w:tr w:rsidR="00401FAE" w14:paraId="6367B850" w14:textId="77777777">
        <w:tc>
          <w:tcPr>
            <w:tcW w:w="0" w:type="auto"/>
            <w:vMerge/>
          </w:tcPr>
          <w:p w14:paraId="3B282281" w14:textId="77777777" w:rsidR="00401FAE" w:rsidRDefault="00401FAE">
            <w:pPr>
              <w:pStyle w:val="CellTextValue"/>
            </w:pPr>
          </w:p>
        </w:tc>
        <w:tc>
          <w:tcPr>
            <w:tcW w:w="0" w:type="auto"/>
          </w:tcPr>
          <w:p w14:paraId="0DC07154" w14:textId="77777777" w:rsidR="00401FAE" w:rsidRDefault="00787C76">
            <w:pPr>
              <w:pStyle w:val="CellTextValueGray"/>
            </w:pPr>
            <w:r>
              <w:t>from 01.020260</w:t>
            </w:r>
          </w:p>
        </w:tc>
        <w:tc>
          <w:tcPr>
            <w:tcW w:w="0" w:type="auto"/>
          </w:tcPr>
          <w:p w14:paraId="2AC85B6A" w14:textId="77777777" w:rsidR="00401FAE" w:rsidRDefault="00787C76">
            <w:pPr>
              <w:pStyle w:val="CellTextValueNumericGray"/>
            </w:pPr>
            <w:r>
              <w:t>2.50</w:t>
            </w:r>
          </w:p>
        </w:tc>
      </w:tr>
      <w:tr w:rsidR="00401FAE" w14:paraId="66EC71A2" w14:textId="77777777">
        <w:tc>
          <w:tcPr>
            <w:tcW w:w="0" w:type="auto"/>
            <w:vMerge w:val="restart"/>
          </w:tcPr>
          <w:p w14:paraId="1D16C7DB" w14:textId="77777777" w:rsidR="00401FAE" w:rsidRDefault="00787C76">
            <w:pPr>
              <w:pStyle w:val="CellTextValue"/>
            </w:pPr>
            <w:r>
              <w:t>HORIZON-MISS-2021-CIT-01</w:t>
            </w:r>
          </w:p>
        </w:tc>
        <w:tc>
          <w:tcPr>
            <w:tcW w:w="0" w:type="auto"/>
          </w:tcPr>
          <w:p w14:paraId="0DFDDA87" w14:textId="77777777" w:rsidR="00401FAE" w:rsidRDefault="00401FAE">
            <w:pPr>
              <w:pStyle w:val="CellTextValue"/>
            </w:pPr>
          </w:p>
        </w:tc>
        <w:tc>
          <w:tcPr>
            <w:tcW w:w="0" w:type="auto"/>
          </w:tcPr>
          <w:p w14:paraId="5EB528D6" w14:textId="77777777" w:rsidR="00401FAE" w:rsidRDefault="00787C76">
            <w:pPr>
              <w:pStyle w:val="CellTextValueNumeric"/>
            </w:pPr>
            <w:r>
              <w:t>4.00</w:t>
            </w:r>
          </w:p>
        </w:tc>
      </w:tr>
      <w:tr w:rsidR="00401FAE" w14:paraId="52A9BEBF" w14:textId="77777777">
        <w:tc>
          <w:tcPr>
            <w:tcW w:w="0" w:type="auto"/>
            <w:vMerge/>
          </w:tcPr>
          <w:p w14:paraId="17D0302A" w14:textId="77777777" w:rsidR="00401FAE" w:rsidRDefault="00401FAE">
            <w:pPr>
              <w:pStyle w:val="CellTextValue"/>
            </w:pPr>
          </w:p>
        </w:tc>
        <w:tc>
          <w:tcPr>
            <w:tcW w:w="0" w:type="auto"/>
          </w:tcPr>
          <w:p w14:paraId="28D48CB5" w14:textId="77777777" w:rsidR="00401FAE" w:rsidRDefault="00787C76">
            <w:pPr>
              <w:pStyle w:val="CellTextValueGray"/>
            </w:pPr>
            <w:r>
              <w:t>from 01.020250</w:t>
            </w:r>
          </w:p>
        </w:tc>
        <w:tc>
          <w:tcPr>
            <w:tcW w:w="0" w:type="auto"/>
          </w:tcPr>
          <w:p w14:paraId="7D26C03C" w14:textId="77777777" w:rsidR="00401FAE" w:rsidRDefault="00787C76">
            <w:pPr>
              <w:pStyle w:val="CellTextValueNumericGray"/>
            </w:pPr>
            <w:r>
              <w:t>4.00</w:t>
            </w:r>
          </w:p>
        </w:tc>
      </w:tr>
      <w:tr w:rsidR="00401FAE" w14:paraId="6DEF2697" w14:textId="77777777">
        <w:tc>
          <w:tcPr>
            <w:tcW w:w="0" w:type="auto"/>
            <w:vMerge w:val="restart"/>
          </w:tcPr>
          <w:p w14:paraId="55079674" w14:textId="77777777" w:rsidR="00401FAE" w:rsidRDefault="00787C76">
            <w:pPr>
              <w:pStyle w:val="CellTextValue"/>
            </w:pPr>
            <w:r>
              <w:t>HORIZON-MISS-2021-SOIL-01</w:t>
            </w:r>
          </w:p>
        </w:tc>
        <w:tc>
          <w:tcPr>
            <w:tcW w:w="0" w:type="auto"/>
          </w:tcPr>
          <w:p w14:paraId="1F23BDA7" w14:textId="77777777" w:rsidR="00401FAE" w:rsidRDefault="00401FAE">
            <w:pPr>
              <w:pStyle w:val="CellTextValue"/>
            </w:pPr>
          </w:p>
        </w:tc>
        <w:tc>
          <w:tcPr>
            <w:tcW w:w="0" w:type="auto"/>
          </w:tcPr>
          <w:p w14:paraId="392F7D85" w14:textId="77777777" w:rsidR="00401FAE" w:rsidRDefault="00787C76">
            <w:pPr>
              <w:pStyle w:val="CellTextValueNumeric"/>
            </w:pPr>
            <w:r>
              <w:t>5.00</w:t>
            </w:r>
          </w:p>
        </w:tc>
      </w:tr>
      <w:tr w:rsidR="00401FAE" w14:paraId="5E125337" w14:textId="77777777">
        <w:tc>
          <w:tcPr>
            <w:tcW w:w="0" w:type="auto"/>
            <w:vMerge/>
          </w:tcPr>
          <w:p w14:paraId="0AA84F71" w14:textId="77777777" w:rsidR="00401FAE" w:rsidRDefault="00401FAE">
            <w:pPr>
              <w:pStyle w:val="CellTextValue"/>
            </w:pPr>
          </w:p>
        </w:tc>
        <w:tc>
          <w:tcPr>
            <w:tcW w:w="0" w:type="auto"/>
          </w:tcPr>
          <w:p w14:paraId="75FC5AC5" w14:textId="77777777" w:rsidR="00401FAE" w:rsidRDefault="00787C76">
            <w:pPr>
              <w:pStyle w:val="CellTextValueGray"/>
            </w:pPr>
            <w:r>
              <w:t>from 01.020260</w:t>
            </w:r>
          </w:p>
        </w:tc>
        <w:tc>
          <w:tcPr>
            <w:tcW w:w="0" w:type="auto"/>
          </w:tcPr>
          <w:p w14:paraId="6D3324A9" w14:textId="77777777" w:rsidR="00401FAE" w:rsidRDefault="00787C76">
            <w:pPr>
              <w:pStyle w:val="CellTextValueNumericGray"/>
            </w:pPr>
            <w:r>
              <w:t>5.00</w:t>
            </w:r>
          </w:p>
        </w:tc>
      </w:tr>
      <w:tr w:rsidR="00401FAE" w14:paraId="6510FB14" w14:textId="77777777">
        <w:tc>
          <w:tcPr>
            <w:tcW w:w="0" w:type="auto"/>
            <w:vMerge w:val="restart"/>
          </w:tcPr>
          <w:p w14:paraId="000F4D82" w14:textId="77777777" w:rsidR="00401FAE" w:rsidRDefault="00787C76">
            <w:pPr>
              <w:pStyle w:val="CellTextValue"/>
            </w:pPr>
            <w:r>
              <w:t>HORIZON-MISS-2021-COOR-01</w:t>
            </w:r>
          </w:p>
        </w:tc>
        <w:tc>
          <w:tcPr>
            <w:tcW w:w="0" w:type="auto"/>
          </w:tcPr>
          <w:p w14:paraId="661D369C" w14:textId="77777777" w:rsidR="00401FAE" w:rsidRDefault="00401FAE">
            <w:pPr>
              <w:pStyle w:val="CellTextValue"/>
            </w:pPr>
          </w:p>
        </w:tc>
        <w:tc>
          <w:tcPr>
            <w:tcW w:w="0" w:type="auto"/>
          </w:tcPr>
          <w:p w14:paraId="09C4FC55" w14:textId="77777777" w:rsidR="00401FAE" w:rsidRDefault="00787C76">
            <w:pPr>
              <w:pStyle w:val="CellTextValueNumeric"/>
            </w:pPr>
            <w:r>
              <w:t>2.00</w:t>
            </w:r>
          </w:p>
        </w:tc>
      </w:tr>
      <w:tr w:rsidR="00401FAE" w14:paraId="48ECA4CB" w14:textId="77777777">
        <w:tc>
          <w:tcPr>
            <w:tcW w:w="0" w:type="auto"/>
            <w:vMerge/>
          </w:tcPr>
          <w:p w14:paraId="577D22EE" w14:textId="77777777" w:rsidR="00401FAE" w:rsidRDefault="00401FAE">
            <w:pPr>
              <w:pStyle w:val="CellTextValue"/>
            </w:pPr>
          </w:p>
        </w:tc>
        <w:tc>
          <w:tcPr>
            <w:tcW w:w="0" w:type="auto"/>
          </w:tcPr>
          <w:p w14:paraId="76B1D72E" w14:textId="77777777" w:rsidR="00401FAE" w:rsidRDefault="00787C76">
            <w:pPr>
              <w:pStyle w:val="CellTextValueGray"/>
            </w:pPr>
            <w:r>
              <w:t>from 01.020210</w:t>
            </w:r>
          </w:p>
        </w:tc>
        <w:tc>
          <w:tcPr>
            <w:tcW w:w="0" w:type="auto"/>
          </w:tcPr>
          <w:p w14:paraId="1F98EDEF" w14:textId="77777777" w:rsidR="00401FAE" w:rsidRDefault="00787C76">
            <w:pPr>
              <w:pStyle w:val="CellTextValueNumericGray"/>
            </w:pPr>
            <w:r>
              <w:t>0.29</w:t>
            </w:r>
          </w:p>
        </w:tc>
      </w:tr>
      <w:tr w:rsidR="00401FAE" w14:paraId="7BBED675" w14:textId="77777777">
        <w:tc>
          <w:tcPr>
            <w:tcW w:w="0" w:type="auto"/>
            <w:vMerge/>
          </w:tcPr>
          <w:p w14:paraId="397AD7B6" w14:textId="77777777" w:rsidR="00401FAE" w:rsidRDefault="00401FAE">
            <w:pPr>
              <w:pStyle w:val="CellTextValue"/>
            </w:pPr>
          </w:p>
        </w:tc>
        <w:tc>
          <w:tcPr>
            <w:tcW w:w="0" w:type="auto"/>
          </w:tcPr>
          <w:p w14:paraId="38B24466" w14:textId="77777777" w:rsidR="00401FAE" w:rsidRDefault="00787C76">
            <w:pPr>
              <w:pStyle w:val="CellTextValueGray"/>
            </w:pPr>
            <w:r>
              <w:t>from 01.020220</w:t>
            </w:r>
          </w:p>
        </w:tc>
        <w:tc>
          <w:tcPr>
            <w:tcW w:w="0" w:type="auto"/>
          </w:tcPr>
          <w:p w14:paraId="29F6CA62" w14:textId="77777777" w:rsidR="00401FAE" w:rsidRDefault="00787C76">
            <w:pPr>
              <w:pStyle w:val="CellTextValueNumericGray"/>
            </w:pPr>
            <w:r>
              <w:t>0.09</w:t>
            </w:r>
          </w:p>
        </w:tc>
      </w:tr>
      <w:tr w:rsidR="00401FAE" w14:paraId="532E416A" w14:textId="77777777">
        <w:tc>
          <w:tcPr>
            <w:tcW w:w="0" w:type="auto"/>
            <w:vMerge/>
          </w:tcPr>
          <w:p w14:paraId="633643EF" w14:textId="77777777" w:rsidR="00401FAE" w:rsidRDefault="00401FAE">
            <w:pPr>
              <w:pStyle w:val="CellTextValue"/>
            </w:pPr>
          </w:p>
        </w:tc>
        <w:tc>
          <w:tcPr>
            <w:tcW w:w="0" w:type="auto"/>
          </w:tcPr>
          <w:p w14:paraId="33D9045D" w14:textId="77777777" w:rsidR="00401FAE" w:rsidRDefault="00787C76">
            <w:pPr>
              <w:pStyle w:val="CellTextValueGray"/>
            </w:pPr>
            <w:r>
              <w:t>from 01.020230</w:t>
            </w:r>
          </w:p>
        </w:tc>
        <w:tc>
          <w:tcPr>
            <w:tcW w:w="0" w:type="auto"/>
          </w:tcPr>
          <w:p w14:paraId="278923C7" w14:textId="77777777" w:rsidR="00401FAE" w:rsidRDefault="00787C76">
            <w:pPr>
              <w:pStyle w:val="CellTextValueNumericGray"/>
            </w:pPr>
            <w:r>
              <w:t>0.07</w:t>
            </w:r>
          </w:p>
        </w:tc>
      </w:tr>
      <w:tr w:rsidR="00401FAE" w14:paraId="319B5769" w14:textId="77777777">
        <w:tc>
          <w:tcPr>
            <w:tcW w:w="0" w:type="auto"/>
            <w:vMerge/>
          </w:tcPr>
          <w:p w14:paraId="30905B39" w14:textId="77777777" w:rsidR="00401FAE" w:rsidRDefault="00401FAE">
            <w:pPr>
              <w:pStyle w:val="CellTextValue"/>
            </w:pPr>
          </w:p>
        </w:tc>
        <w:tc>
          <w:tcPr>
            <w:tcW w:w="0" w:type="auto"/>
          </w:tcPr>
          <w:p w14:paraId="2D0859C6" w14:textId="77777777" w:rsidR="00401FAE" w:rsidRDefault="00787C76">
            <w:pPr>
              <w:pStyle w:val="CellTextValueGray"/>
            </w:pPr>
            <w:r>
              <w:t>from 01.020240</w:t>
            </w:r>
          </w:p>
        </w:tc>
        <w:tc>
          <w:tcPr>
            <w:tcW w:w="0" w:type="auto"/>
          </w:tcPr>
          <w:p w14:paraId="3468C005" w14:textId="77777777" w:rsidR="00401FAE" w:rsidRDefault="00787C76">
            <w:pPr>
              <w:pStyle w:val="CellTextValueNumericGray"/>
            </w:pPr>
            <w:r>
              <w:t>0.58</w:t>
            </w:r>
          </w:p>
        </w:tc>
      </w:tr>
      <w:tr w:rsidR="00401FAE" w14:paraId="2361DBC9" w14:textId="77777777">
        <w:tc>
          <w:tcPr>
            <w:tcW w:w="0" w:type="auto"/>
            <w:vMerge/>
          </w:tcPr>
          <w:p w14:paraId="2F751796" w14:textId="77777777" w:rsidR="00401FAE" w:rsidRDefault="00401FAE">
            <w:pPr>
              <w:pStyle w:val="CellTextValue"/>
            </w:pPr>
          </w:p>
        </w:tc>
        <w:tc>
          <w:tcPr>
            <w:tcW w:w="0" w:type="auto"/>
          </w:tcPr>
          <w:p w14:paraId="3A169110" w14:textId="77777777" w:rsidR="00401FAE" w:rsidRDefault="00787C76">
            <w:pPr>
              <w:pStyle w:val="CellTextValueGray"/>
            </w:pPr>
            <w:r>
              <w:t>from 01.020250</w:t>
            </w:r>
          </w:p>
        </w:tc>
        <w:tc>
          <w:tcPr>
            <w:tcW w:w="0" w:type="auto"/>
          </w:tcPr>
          <w:p w14:paraId="0EC7D5CD" w14:textId="77777777" w:rsidR="00401FAE" w:rsidRDefault="00787C76">
            <w:pPr>
              <w:pStyle w:val="CellTextValueNumericGray"/>
            </w:pPr>
            <w:r>
              <w:t>0.58</w:t>
            </w:r>
          </w:p>
        </w:tc>
      </w:tr>
      <w:tr w:rsidR="00401FAE" w14:paraId="5CEBD904" w14:textId="77777777">
        <w:tc>
          <w:tcPr>
            <w:tcW w:w="0" w:type="auto"/>
            <w:vMerge/>
          </w:tcPr>
          <w:p w14:paraId="7C397E57" w14:textId="77777777" w:rsidR="00401FAE" w:rsidRDefault="00401FAE">
            <w:pPr>
              <w:pStyle w:val="CellTextValue"/>
            </w:pPr>
          </w:p>
        </w:tc>
        <w:tc>
          <w:tcPr>
            <w:tcW w:w="0" w:type="auto"/>
          </w:tcPr>
          <w:p w14:paraId="44B0C505" w14:textId="77777777" w:rsidR="00401FAE" w:rsidRDefault="00787C76">
            <w:pPr>
              <w:pStyle w:val="CellTextValueGray"/>
            </w:pPr>
            <w:r>
              <w:t>from 01.020260</w:t>
            </w:r>
          </w:p>
        </w:tc>
        <w:tc>
          <w:tcPr>
            <w:tcW w:w="0" w:type="auto"/>
          </w:tcPr>
          <w:p w14:paraId="4C831C92" w14:textId="77777777" w:rsidR="00401FAE" w:rsidRDefault="00787C76">
            <w:pPr>
              <w:pStyle w:val="CellTextValueNumericGray"/>
            </w:pPr>
            <w:r>
              <w:t>0.38</w:t>
            </w:r>
          </w:p>
        </w:tc>
      </w:tr>
      <w:tr w:rsidR="00401FAE" w14:paraId="0134B021" w14:textId="77777777">
        <w:tc>
          <w:tcPr>
            <w:tcW w:w="0" w:type="auto"/>
            <w:vMerge w:val="restart"/>
          </w:tcPr>
          <w:p w14:paraId="5EF14F55" w14:textId="77777777" w:rsidR="00401FAE" w:rsidRDefault="00787C76">
            <w:pPr>
              <w:pStyle w:val="CellTextValue"/>
            </w:pPr>
            <w:r>
              <w:t>HORIZON-MISS-2021-NEB-01</w:t>
            </w:r>
          </w:p>
        </w:tc>
        <w:tc>
          <w:tcPr>
            <w:tcW w:w="0" w:type="auto"/>
          </w:tcPr>
          <w:p w14:paraId="6A7D6AC2" w14:textId="77777777" w:rsidR="00401FAE" w:rsidRDefault="00401FAE">
            <w:pPr>
              <w:pStyle w:val="CellTextValue"/>
            </w:pPr>
          </w:p>
        </w:tc>
        <w:tc>
          <w:tcPr>
            <w:tcW w:w="0" w:type="auto"/>
          </w:tcPr>
          <w:p w14:paraId="6875907B" w14:textId="77777777" w:rsidR="00401FAE" w:rsidRDefault="00787C76">
            <w:pPr>
              <w:pStyle w:val="CellTextValueNumeric"/>
            </w:pPr>
            <w:r>
              <w:t>25.00</w:t>
            </w:r>
          </w:p>
        </w:tc>
      </w:tr>
      <w:tr w:rsidR="00401FAE" w14:paraId="53038B8B" w14:textId="77777777">
        <w:tc>
          <w:tcPr>
            <w:tcW w:w="0" w:type="auto"/>
            <w:vMerge/>
          </w:tcPr>
          <w:p w14:paraId="5D55959D" w14:textId="77777777" w:rsidR="00401FAE" w:rsidRDefault="00401FAE">
            <w:pPr>
              <w:pStyle w:val="CellTextValue"/>
            </w:pPr>
          </w:p>
        </w:tc>
        <w:tc>
          <w:tcPr>
            <w:tcW w:w="0" w:type="auto"/>
          </w:tcPr>
          <w:p w14:paraId="375987A5" w14:textId="77777777" w:rsidR="00401FAE" w:rsidRDefault="00787C76">
            <w:pPr>
              <w:pStyle w:val="CellTextValueGray"/>
            </w:pPr>
            <w:r>
              <w:t>from 01.020210</w:t>
            </w:r>
          </w:p>
        </w:tc>
        <w:tc>
          <w:tcPr>
            <w:tcW w:w="0" w:type="auto"/>
          </w:tcPr>
          <w:p w14:paraId="00B5A18F" w14:textId="77777777" w:rsidR="00401FAE" w:rsidRDefault="00787C76">
            <w:pPr>
              <w:pStyle w:val="CellTextValueNumericGray"/>
            </w:pPr>
            <w:r>
              <w:t>3.67</w:t>
            </w:r>
          </w:p>
        </w:tc>
      </w:tr>
      <w:tr w:rsidR="00401FAE" w14:paraId="78E7C90B" w14:textId="77777777">
        <w:tc>
          <w:tcPr>
            <w:tcW w:w="0" w:type="auto"/>
            <w:vMerge/>
          </w:tcPr>
          <w:p w14:paraId="4A0D2DDC" w14:textId="77777777" w:rsidR="00401FAE" w:rsidRDefault="00401FAE">
            <w:pPr>
              <w:pStyle w:val="CellTextValue"/>
            </w:pPr>
          </w:p>
        </w:tc>
        <w:tc>
          <w:tcPr>
            <w:tcW w:w="0" w:type="auto"/>
          </w:tcPr>
          <w:p w14:paraId="76A53878" w14:textId="77777777" w:rsidR="00401FAE" w:rsidRDefault="00787C76">
            <w:pPr>
              <w:pStyle w:val="CellTextValueGray"/>
            </w:pPr>
            <w:r>
              <w:t>from 01.020220</w:t>
            </w:r>
          </w:p>
        </w:tc>
        <w:tc>
          <w:tcPr>
            <w:tcW w:w="0" w:type="auto"/>
          </w:tcPr>
          <w:p w14:paraId="3B7454D8" w14:textId="77777777" w:rsidR="00401FAE" w:rsidRDefault="00787C76">
            <w:pPr>
              <w:pStyle w:val="CellTextValueNumericGray"/>
            </w:pPr>
            <w:r>
              <w:t>1.16</w:t>
            </w:r>
          </w:p>
        </w:tc>
      </w:tr>
      <w:tr w:rsidR="00401FAE" w14:paraId="127AB8CC" w14:textId="77777777">
        <w:tc>
          <w:tcPr>
            <w:tcW w:w="0" w:type="auto"/>
            <w:vMerge/>
          </w:tcPr>
          <w:p w14:paraId="6F189E62" w14:textId="77777777" w:rsidR="00401FAE" w:rsidRDefault="00401FAE">
            <w:pPr>
              <w:pStyle w:val="CellTextValue"/>
            </w:pPr>
          </w:p>
        </w:tc>
        <w:tc>
          <w:tcPr>
            <w:tcW w:w="0" w:type="auto"/>
          </w:tcPr>
          <w:p w14:paraId="1E810B51" w14:textId="77777777" w:rsidR="00401FAE" w:rsidRDefault="00787C76">
            <w:pPr>
              <w:pStyle w:val="CellTextValueGray"/>
            </w:pPr>
            <w:r>
              <w:t>from 01.020230</w:t>
            </w:r>
          </w:p>
        </w:tc>
        <w:tc>
          <w:tcPr>
            <w:tcW w:w="0" w:type="auto"/>
          </w:tcPr>
          <w:p w14:paraId="579BE3B0" w14:textId="77777777" w:rsidR="00401FAE" w:rsidRDefault="00787C76">
            <w:pPr>
              <w:pStyle w:val="CellTextValueNumericGray"/>
            </w:pPr>
            <w:r>
              <w:t>0.85</w:t>
            </w:r>
          </w:p>
        </w:tc>
      </w:tr>
      <w:tr w:rsidR="00401FAE" w14:paraId="7D38B6A4" w14:textId="77777777">
        <w:tc>
          <w:tcPr>
            <w:tcW w:w="0" w:type="auto"/>
            <w:vMerge/>
          </w:tcPr>
          <w:p w14:paraId="09102621" w14:textId="77777777" w:rsidR="00401FAE" w:rsidRDefault="00401FAE">
            <w:pPr>
              <w:pStyle w:val="CellTextValue"/>
            </w:pPr>
          </w:p>
        </w:tc>
        <w:tc>
          <w:tcPr>
            <w:tcW w:w="0" w:type="auto"/>
          </w:tcPr>
          <w:p w14:paraId="4B93866C" w14:textId="77777777" w:rsidR="00401FAE" w:rsidRDefault="00787C76">
            <w:pPr>
              <w:pStyle w:val="CellTextValueGray"/>
            </w:pPr>
            <w:r>
              <w:t>from 01.020240</w:t>
            </w:r>
          </w:p>
        </w:tc>
        <w:tc>
          <w:tcPr>
            <w:tcW w:w="0" w:type="auto"/>
          </w:tcPr>
          <w:p w14:paraId="7598AD2E" w14:textId="77777777" w:rsidR="00401FAE" w:rsidRDefault="00787C76">
            <w:pPr>
              <w:pStyle w:val="CellTextValueNumericGray"/>
            </w:pPr>
            <w:r>
              <w:t>7.28</w:t>
            </w:r>
          </w:p>
        </w:tc>
      </w:tr>
      <w:tr w:rsidR="00401FAE" w14:paraId="443DF03E" w14:textId="77777777">
        <w:tc>
          <w:tcPr>
            <w:tcW w:w="0" w:type="auto"/>
            <w:vMerge/>
          </w:tcPr>
          <w:p w14:paraId="03C3B861" w14:textId="77777777" w:rsidR="00401FAE" w:rsidRDefault="00401FAE">
            <w:pPr>
              <w:pStyle w:val="CellTextValue"/>
            </w:pPr>
          </w:p>
        </w:tc>
        <w:tc>
          <w:tcPr>
            <w:tcW w:w="0" w:type="auto"/>
          </w:tcPr>
          <w:p w14:paraId="06850C07" w14:textId="77777777" w:rsidR="00401FAE" w:rsidRDefault="00787C76">
            <w:pPr>
              <w:pStyle w:val="CellTextValueGray"/>
            </w:pPr>
            <w:r>
              <w:t>from 01.020250</w:t>
            </w:r>
          </w:p>
        </w:tc>
        <w:tc>
          <w:tcPr>
            <w:tcW w:w="0" w:type="auto"/>
          </w:tcPr>
          <w:p w14:paraId="392B1128" w14:textId="77777777" w:rsidR="00401FAE" w:rsidRDefault="00787C76">
            <w:pPr>
              <w:pStyle w:val="CellTextValueNumericGray"/>
            </w:pPr>
            <w:r>
              <w:t>7.28</w:t>
            </w:r>
          </w:p>
        </w:tc>
      </w:tr>
      <w:tr w:rsidR="00401FAE" w14:paraId="4152AC33" w14:textId="77777777">
        <w:tc>
          <w:tcPr>
            <w:tcW w:w="0" w:type="auto"/>
            <w:vMerge/>
          </w:tcPr>
          <w:p w14:paraId="173643A8" w14:textId="77777777" w:rsidR="00401FAE" w:rsidRDefault="00401FAE">
            <w:pPr>
              <w:pStyle w:val="CellTextValue"/>
            </w:pPr>
          </w:p>
        </w:tc>
        <w:tc>
          <w:tcPr>
            <w:tcW w:w="0" w:type="auto"/>
          </w:tcPr>
          <w:p w14:paraId="17CE424D" w14:textId="77777777" w:rsidR="00401FAE" w:rsidRDefault="00787C76">
            <w:pPr>
              <w:pStyle w:val="CellTextValueGray"/>
            </w:pPr>
            <w:r>
              <w:t>from 01.020260</w:t>
            </w:r>
          </w:p>
        </w:tc>
        <w:tc>
          <w:tcPr>
            <w:tcW w:w="0" w:type="auto"/>
          </w:tcPr>
          <w:p w14:paraId="5ED23546" w14:textId="77777777" w:rsidR="00401FAE" w:rsidRDefault="00787C76">
            <w:pPr>
              <w:pStyle w:val="CellTextValueNumericGray"/>
            </w:pPr>
            <w:r>
              <w:t>4.77</w:t>
            </w:r>
          </w:p>
        </w:tc>
      </w:tr>
      <w:tr w:rsidR="00787C76" w14:paraId="23BE12F8" w14:textId="77777777" w:rsidTr="00787C76">
        <w:tc>
          <w:tcPr>
            <w:tcW w:w="0" w:type="auto"/>
            <w:gridSpan w:val="3"/>
          </w:tcPr>
          <w:p w14:paraId="1BA4FE57" w14:textId="77777777" w:rsidR="00401FAE" w:rsidRDefault="00787C76">
            <w:pPr>
              <w:pStyle w:val="CellHeaderTextValue"/>
              <w:jc w:val="left"/>
            </w:pPr>
            <w:r>
              <w:rPr>
                <w:b/>
              </w:rPr>
              <w:t>Other actions</w:t>
            </w:r>
          </w:p>
        </w:tc>
      </w:tr>
      <w:tr w:rsidR="00401FAE" w14:paraId="2404A012" w14:textId="77777777">
        <w:tc>
          <w:tcPr>
            <w:tcW w:w="0" w:type="auto"/>
            <w:vMerge w:val="restart"/>
          </w:tcPr>
          <w:p w14:paraId="4DEA72E2" w14:textId="77777777" w:rsidR="00401FAE" w:rsidRDefault="00787C76">
            <w:pPr>
              <w:pStyle w:val="CellTextValue"/>
            </w:pPr>
            <w:r>
              <w:t>Indirectly managed action</w:t>
            </w:r>
          </w:p>
        </w:tc>
        <w:tc>
          <w:tcPr>
            <w:tcW w:w="0" w:type="auto"/>
          </w:tcPr>
          <w:p w14:paraId="36462A2F" w14:textId="77777777" w:rsidR="00401FAE" w:rsidRDefault="00401FAE">
            <w:pPr>
              <w:pStyle w:val="CellTextValue"/>
            </w:pPr>
          </w:p>
        </w:tc>
        <w:tc>
          <w:tcPr>
            <w:tcW w:w="0" w:type="auto"/>
          </w:tcPr>
          <w:p w14:paraId="3CCD1DFF" w14:textId="77777777" w:rsidR="00401FAE" w:rsidRDefault="00787C76">
            <w:pPr>
              <w:pStyle w:val="CellTextValueNumeric"/>
            </w:pPr>
            <w:r>
              <w:t>See footnote</w:t>
            </w:r>
            <w:r>
              <w:rPr>
                <w:vertAlign w:val="superscript"/>
              </w:rPr>
              <w:footnoteReference w:id="103"/>
            </w:r>
          </w:p>
        </w:tc>
      </w:tr>
      <w:tr w:rsidR="00401FAE" w14:paraId="055FB9C6" w14:textId="77777777">
        <w:tc>
          <w:tcPr>
            <w:tcW w:w="0" w:type="auto"/>
            <w:vMerge/>
          </w:tcPr>
          <w:p w14:paraId="607DA39C" w14:textId="77777777" w:rsidR="00401FAE" w:rsidRDefault="00401FAE">
            <w:pPr>
              <w:pStyle w:val="CellTextValue"/>
            </w:pPr>
          </w:p>
        </w:tc>
        <w:tc>
          <w:tcPr>
            <w:tcW w:w="0" w:type="auto"/>
          </w:tcPr>
          <w:p w14:paraId="4EFA860A" w14:textId="77777777" w:rsidR="00401FAE" w:rsidRDefault="00787C76">
            <w:pPr>
              <w:pStyle w:val="CellTextValueGray"/>
            </w:pPr>
            <w:r>
              <w:t>from 01.020210</w:t>
            </w:r>
          </w:p>
        </w:tc>
        <w:tc>
          <w:tcPr>
            <w:tcW w:w="0" w:type="auto"/>
          </w:tcPr>
          <w:p w14:paraId="7BF51CD3" w14:textId="77777777" w:rsidR="00401FAE" w:rsidRDefault="00787C76">
            <w:pPr>
              <w:pStyle w:val="CellTextValueNumericGray"/>
            </w:pPr>
            <w:r>
              <w:t>0.29</w:t>
            </w:r>
          </w:p>
        </w:tc>
      </w:tr>
      <w:tr w:rsidR="00401FAE" w14:paraId="7B13888F" w14:textId="77777777">
        <w:tc>
          <w:tcPr>
            <w:tcW w:w="0" w:type="auto"/>
            <w:vMerge/>
          </w:tcPr>
          <w:p w14:paraId="4466A2CB" w14:textId="77777777" w:rsidR="00401FAE" w:rsidRDefault="00401FAE">
            <w:pPr>
              <w:pStyle w:val="CellTextValue"/>
            </w:pPr>
          </w:p>
        </w:tc>
        <w:tc>
          <w:tcPr>
            <w:tcW w:w="0" w:type="auto"/>
          </w:tcPr>
          <w:p w14:paraId="308012A0" w14:textId="77777777" w:rsidR="00401FAE" w:rsidRDefault="00787C76">
            <w:pPr>
              <w:pStyle w:val="CellTextValueGray"/>
            </w:pPr>
            <w:r>
              <w:t>from 01.020220</w:t>
            </w:r>
          </w:p>
        </w:tc>
        <w:tc>
          <w:tcPr>
            <w:tcW w:w="0" w:type="auto"/>
          </w:tcPr>
          <w:p w14:paraId="3C57458A" w14:textId="77777777" w:rsidR="00401FAE" w:rsidRDefault="00787C76">
            <w:pPr>
              <w:pStyle w:val="CellTextValueNumericGray"/>
            </w:pPr>
            <w:r>
              <w:t>0.09</w:t>
            </w:r>
          </w:p>
        </w:tc>
      </w:tr>
      <w:tr w:rsidR="00401FAE" w14:paraId="342E8D11" w14:textId="77777777">
        <w:tc>
          <w:tcPr>
            <w:tcW w:w="0" w:type="auto"/>
            <w:vMerge/>
          </w:tcPr>
          <w:p w14:paraId="376AD674" w14:textId="77777777" w:rsidR="00401FAE" w:rsidRDefault="00401FAE">
            <w:pPr>
              <w:pStyle w:val="CellTextValue"/>
            </w:pPr>
          </w:p>
        </w:tc>
        <w:tc>
          <w:tcPr>
            <w:tcW w:w="0" w:type="auto"/>
          </w:tcPr>
          <w:p w14:paraId="18B1E766" w14:textId="77777777" w:rsidR="00401FAE" w:rsidRDefault="00787C76">
            <w:pPr>
              <w:pStyle w:val="CellTextValueGray"/>
            </w:pPr>
            <w:r>
              <w:t>from 01.020230</w:t>
            </w:r>
          </w:p>
        </w:tc>
        <w:tc>
          <w:tcPr>
            <w:tcW w:w="0" w:type="auto"/>
          </w:tcPr>
          <w:p w14:paraId="7C0703ED" w14:textId="77777777" w:rsidR="00401FAE" w:rsidRDefault="00787C76">
            <w:pPr>
              <w:pStyle w:val="CellTextValueNumericGray"/>
            </w:pPr>
            <w:r>
              <w:t>0.07</w:t>
            </w:r>
          </w:p>
        </w:tc>
      </w:tr>
      <w:tr w:rsidR="00401FAE" w14:paraId="5AE98BA7" w14:textId="77777777">
        <w:tc>
          <w:tcPr>
            <w:tcW w:w="0" w:type="auto"/>
            <w:vMerge/>
          </w:tcPr>
          <w:p w14:paraId="78E6834A" w14:textId="77777777" w:rsidR="00401FAE" w:rsidRDefault="00401FAE">
            <w:pPr>
              <w:pStyle w:val="CellTextValue"/>
            </w:pPr>
          </w:p>
        </w:tc>
        <w:tc>
          <w:tcPr>
            <w:tcW w:w="0" w:type="auto"/>
          </w:tcPr>
          <w:p w14:paraId="3E479DFA" w14:textId="77777777" w:rsidR="00401FAE" w:rsidRDefault="00787C76">
            <w:pPr>
              <w:pStyle w:val="CellTextValueGray"/>
            </w:pPr>
            <w:r>
              <w:t>from 01.020240</w:t>
            </w:r>
          </w:p>
        </w:tc>
        <w:tc>
          <w:tcPr>
            <w:tcW w:w="0" w:type="auto"/>
          </w:tcPr>
          <w:p w14:paraId="5C844F78" w14:textId="77777777" w:rsidR="00401FAE" w:rsidRDefault="00787C76">
            <w:pPr>
              <w:pStyle w:val="CellTextValueNumericGray"/>
            </w:pPr>
            <w:r>
              <w:t>0.58</w:t>
            </w:r>
          </w:p>
        </w:tc>
      </w:tr>
      <w:tr w:rsidR="00401FAE" w14:paraId="19458730" w14:textId="77777777">
        <w:tc>
          <w:tcPr>
            <w:tcW w:w="0" w:type="auto"/>
            <w:vMerge/>
          </w:tcPr>
          <w:p w14:paraId="4C9F766F" w14:textId="77777777" w:rsidR="00401FAE" w:rsidRDefault="00401FAE">
            <w:pPr>
              <w:pStyle w:val="CellTextValue"/>
            </w:pPr>
          </w:p>
        </w:tc>
        <w:tc>
          <w:tcPr>
            <w:tcW w:w="0" w:type="auto"/>
          </w:tcPr>
          <w:p w14:paraId="1C8F6854" w14:textId="77777777" w:rsidR="00401FAE" w:rsidRDefault="00787C76">
            <w:pPr>
              <w:pStyle w:val="CellTextValueGray"/>
            </w:pPr>
            <w:r>
              <w:t>from 01.020250</w:t>
            </w:r>
          </w:p>
        </w:tc>
        <w:tc>
          <w:tcPr>
            <w:tcW w:w="0" w:type="auto"/>
          </w:tcPr>
          <w:p w14:paraId="44A2167D" w14:textId="77777777" w:rsidR="00401FAE" w:rsidRDefault="00787C76">
            <w:pPr>
              <w:pStyle w:val="CellTextValueNumericGray"/>
            </w:pPr>
            <w:r>
              <w:t>0.58</w:t>
            </w:r>
          </w:p>
        </w:tc>
      </w:tr>
      <w:tr w:rsidR="00401FAE" w14:paraId="1D38D38B" w14:textId="77777777">
        <w:tc>
          <w:tcPr>
            <w:tcW w:w="0" w:type="auto"/>
            <w:vMerge/>
          </w:tcPr>
          <w:p w14:paraId="1B6004BF" w14:textId="77777777" w:rsidR="00401FAE" w:rsidRDefault="00401FAE">
            <w:pPr>
              <w:pStyle w:val="CellTextValue"/>
            </w:pPr>
          </w:p>
        </w:tc>
        <w:tc>
          <w:tcPr>
            <w:tcW w:w="0" w:type="auto"/>
          </w:tcPr>
          <w:p w14:paraId="4DA2D1BA" w14:textId="77777777" w:rsidR="00401FAE" w:rsidRDefault="00787C76">
            <w:pPr>
              <w:pStyle w:val="CellTextValueGray"/>
            </w:pPr>
            <w:r>
              <w:t>from 01.020260</w:t>
            </w:r>
          </w:p>
        </w:tc>
        <w:tc>
          <w:tcPr>
            <w:tcW w:w="0" w:type="auto"/>
          </w:tcPr>
          <w:p w14:paraId="7A54AB34" w14:textId="77777777" w:rsidR="00401FAE" w:rsidRDefault="00787C76">
            <w:pPr>
              <w:pStyle w:val="CellTextValueNumericGray"/>
            </w:pPr>
            <w:r>
              <w:t>0.38</w:t>
            </w:r>
          </w:p>
        </w:tc>
      </w:tr>
      <w:tr w:rsidR="00401FAE" w14:paraId="2C767AA2" w14:textId="77777777">
        <w:tc>
          <w:tcPr>
            <w:tcW w:w="0" w:type="auto"/>
            <w:vMerge w:val="restart"/>
          </w:tcPr>
          <w:p w14:paraId="28183378" w14:textId="77777777" w:rsidR="00401FAE" w:rsidRDefault="00787C76">
            <w:pPr>
              <w:pStyle w:val="CellTextValue"/>
            </w:pPr>
            <w:r>
              <w:t>Public procurement</w:t>
            </w:r>
          </w:p>
        </w:tc>
        <w:tc>
          <w:tcPr>
            <w:tcW w:w="0" w:type="auto"/>
          </w:tcPr>
          <w:p w14:paraId="437B505F" w14:textId="77777777" w:rsidR="00401FAE" w:rsidRDefault="00401FAE">
            <w:pPr>
              <w:pStyle w:val="CellTextValue"/>
            </w:pPr>
          </w:p>
        </w:tc>
        <w:tc>
          <w:tcPr>
            <w:tcW w:w="0" w:type="auto"/>
          </w:tcPr>
          <w:p w14:paraId="6CC714D1" w14:textId="77777777" w:rsidR="00401FAE" w:rsidRDefault="00787C76">
            <w:pPr>
              <w:pStyle w:val="CellTextValueNumeric"/>
            </w:pPr>
            <w:r>
              <w:t>See footnote</w:t>
            </w:r>
            <w:r>
              <w:rPr>
                <w:vertAlign w:val="superscript"/>
              </w:rPr>
              <w:footnoteReference w:id="104"/>
            </w:r>
          </w:p>
        </w:tc>
      </w:tr>
      <w:tr w:rsidR="00401FAE" w14:paraId="0F976639" w14:textId="77777777">
        <w:tc>
          <w:tcPr>
            <w:tcW w:w="0" w:type="auto"/>
            <w:vMerge/>
          </w:tcPr>
          <w:p w14:paraId="584B511F" w14:textId="77777777" w:rsidR="00401FAE" w:rsidRDefault="00401FAE">
            <w:pPr>
              <w:pStyle w:val="CellTextValue"/>
            </w:pPr>
          </w:p>
        </w:tc>
        <w:tc>
          <w:tcPr>
            <w:tcW w:w="0" w:type="auto"/>
          </w:tcPr>
          <w:p w14:paraId="5C73FBE9" w14:textId="77777777" w:rsidR="00401FAE" w:rsidRDefault="00787C76">
            <w:pPr>
              <w:pStyle w:val="CellTextValueGray"/>
            </w:pPr>
            <w:r>
              <w:t>from 01.020210</w:t>
            </w:r>
          </w:p>
        </w:tc>
        <w:tc>
          <w:tcPr>
            <w:tcW w:w="0" w:type="auto"/>
          </w:tcPr>
          <w:p w14:paraId="6893F7D4" w14:textId="77777777" w:rsidR="00401FAE" w:rsidRDefault="00787C76">
            <w:pPr>
              <w:pStyle w:val="CellTextValueNumericGray"/>
            </w:pPr>
            <w:r>
              <w:t>2.29</w:t>
            </w:r>
          </w:p>
        </w:tc>
      </w:tr>
      <w:tr w:rsidR="00401FAE" w14:paraId="36969760" w14:textId="77777777">
        <w:tc>
          <w:tcPr>
            <w:tcW w:w="0" w:type="auto"/>
            <w:vMerge/>
          </w:tcPr>
          <w:p w14:paraId="3E3942E4" w14:textId="77777777" w:rsidR="00401FAE" w:rsidRDefault="00401FAE">
            <w:pPr>
              <w:pStyle w:val="CellTextValue"/>
            </w:pPr>
          </w:p>
        </w:tc>
        <w:tc>
          <w:tcPr>
            <w:tcW w:w="0" w:type="auto"/>
          </w:tcPr>
          <w:p w14:paraId="35C808C9" w14:textId="77777777" w:rsidR="00401FAE" w:rsidRDefault="00787C76">
            <w:pPr>
              <w:pStyle w:val="CellTextValueGray"/>
            </w:pPr>
            <w:r>
              <w:t>from 01.020220</w:t>
            </w:r>
          </w:p>
        </w:tc>
        <w:tc>
          <w:tcPr>
            <w:tcW w:w="0" w:type="auto"/>
          </w:tcPr>
          <w:p w14:paraId="5605C655" w14:textId="77777777" w:rsidR="00401FAE" w:rsidRDefault="00787C76">
            <w:pPr>
              <w:pStyle w:val="CellTextValueNumericGray"/>
            </w:pPr>
            <w:r>
              <w:t>0.09</w:t>
            </w:r>
          </w:p>
        </w:tc>
      </w:tr>
      <w:tr w:rsidR="00401FAE" w14:paraId="660E2BCB" w14:textId="77777777">
        <w:tc>
          <w:tcPr>
            <w:tcW w:w="0" w:type="auto"/>
            <w:vMerge/>
          </w:tcPr>
          <w:p w14:paraId="4A3A1850" w14:textId="77777777" w:rsidR="00401FAE" w:rsidRDefault="00401FAE">
            <w:pPr>
              <w:pStyle w:val="CellTextValue"/>
            </w:pPr>
          </w:p>
        </w:tc>
        <w:tc>
          <w:tcPr>
            <w:tcW w:w="0" w:type="auto"/>
          </w:tcPr>
          <w:p w14:paraId="31C3981E" w14:textId="77777777" w:rsidR="00401FAE" w:rsidRDefault="00787C76">
            <w:pPr>
              <w:pStyle w:val="CellTextValueGray"/>
            </w:pPr>
            <w:r>
              <w:t>from 01.020230</w:t>
            </w:r>
          </w:p>
        </w:tc>
        <w:tc>
          <w:tcPr>
            <w:tcW w:w="0" w:type="auto"/>
          </w:tcPr>
          <w:p w14:paraId="37AF95AF" w14:textId="77777777" w:rsidR="00401FAE" w:rsidRDefault="00787C76">
            <w:pPr>
              <w:pStyle w:val="CellTextValueNumericGray"/>
            </w:pPr>
            <w:r>
              <w:t>0.07</w:t>
            </w:r>
          </w:p>
        </w:tc>
      </w:tr>
      <w:tr w:rsidR="00401FAE" w14:paraId="6102FFCD" w14:textId="77777777">
        <w:tc>
          <w:tcPr>
            <w:tcW w:w="0" w:type="auto"/>
            <w:vMerge/>
          </w:tcPr>
          <w:p w14:paraId="48B3070D" w14:textId="77777777" w:rsidR="00401FAE" w:rsidRDefault="00401FAE">
            <w:pPr>
              <w:pStyle w:val="CellTextValue"/>
            </w:pPr>
          </w:p>
        </w:tc>
        <w:tc>
          <w:tcPr>
            <w:tcW w:w="0" w:type="auto"/>
          </w:tcPr>
          <w:p w14:paraId="172264AD" w14:textId="77777777" w:rsidR="00401FAE" w:rsidRDefault="00787C76">
            <w:pPr>
              <w:pStyle w:val="CellTextValueGray"/>
            </w:pPr>
            <w:r>
              <w:t>from 01.020240</w:t>
            </w:r>
          </w:p>
        </w:tc>
        <w:tc>
          <w:tcPr>
            <w:tcW w:w="0" w:type="auto"/>
          </w:tcPr>
          <w:p w14:paraId="1D7D0A5B" w14:textId="77777777" w:rsidR="00401FAE" w:rsidRDefault="00787C76">
            <w:pPr>
              <w:pStyle w:val="CellTextValueNumericGray"/>
            </w:pPr>
            <w:r>
              <w:t>0.58</w:t>
            </w:r>
          </w:p>
        </w:tc>
      </w:tr>
      <w:tr w:rsidR="00401FAE" w14:paraId="3651F057" w14:textId="77777777">
        <w:tc>
          <w:tcPr>
            <w:tcW w:w="0" w:type="auto"/>
            <w:vMerge/>
          </w:tcPr>
          <w:p w14:paraId="4B1C44E5" w14:textId="77777777" w:rsidR="00401FAE" w:rsidRDefault="00401FAE">
            <w:pPr>
              <w:pStyle w:val="CellTextValue"/>
            </w:pPr>
          </w:p>
        </w:tc>
        <w:tc>
          <w:tcPr>
            <w:tcW w:w="0" w:type="auto"/>
          </w:tcPr>
          <w:p w14:paraId="168BF4D6" w14:textId="77777777" w:rsidR="00401FAE" w:rsidRDefault="00787C76">
            <w:pPr>
              <w:pStyle w:val="CellTextValueGray"/>
            </w:pPr>
            <w:r>
              <w:t>from 01.020250</w:t>
            </w:r>
          </w:p>
        </w:tc>
        <w:tc>
          <w:tcPr>
            <w:tcW w:w="0" w:type="auto"/>
          </w:tcPr>
          <w:p w14:paraId="123C81F3" w14:textId="77777777" w:rsidR="00401FAE" w:rsidRDefault="00787C76">
            <w:pPr>
              <w:pStyle w:val="CellTextValueNumericGray"/>
            </w:pPr>
            <w:r>
              <w:t>0.58</w:t>
            </w:r>
          </w:p>
        </w:tc>
      </w:tr>
      <w:tr w:rsidR="00401FAE" w14:paraId="2C70C897" w14:textId="77777777">
        <w:tc>
          <w:tcPr>
            <w:tcW w:w="0" w:type="auto"/>
            <w:vMerge/>
          </w:tcPr>
          <w:p w14:paraId="007E01C4" w14:textId="77777777" w:rsidR="00401FAE" w:rsidRDefault="00401FAE">
            <w:pPr>
              <w:pStyle w:val="CellTextValue"/>
            </w:pPr>
          </w:p>
        </w:tc>
        <w:tc>
          <w:tcPr>
            <w:tcW w:w="0" w:type="auto"/>
          </w:tcPr>
          <w:p w14:paraId="7D166C9A" w14:textId="77777777" w:rsidR="00401FAE" w:rsidRDefault="00787C76">
            <w:pPr>
              <w:pStyle w:val="CellTextValueGray"/>
            </w:pPr>
            <w:r>
              <w:t>from 01.020260</w:t>
            </w:r>
          </w:p>
        </w:tc>
        <w:tc>
          <w:tcPr>
            <w:tcW w:w="0" w:type="auto"/>
          </w:tcPr>
          <w:p w14:paraId="60515D2F" w14:textId="77777777" w:rsidR="00401FAE" w:rsidRDefault="00787C76">
            <w:pPr>
              <w:pStyle w:val="CellTextValueNumericGray"/>
            </w:pPr>
            <w:r>
              <w:t>0.38</w:t>
            </w:r>
          </w:p>
        </w:tc>
      </w:tr>
      <w:tr w:rsidR="00401FAE" w14:paraId="1839CFF9" w14:textId="77777777">
        <w:tc>
          <w:tcPr>
            <w:tcW w:w="0" w:type="auto"/>
            <w:vMerge w:val="restart"/>
          </w:tcPr>
          <w:p w14:paraId="7DCC0DA3" w14:textId="77777777" w:rsidR="00401FAE" w:rsidRDefault="00787C76">
            <w:pPr>
              <w:pStyle w:val="CellTextValue"/>
            </w:pPr>
            <w:r>
              <w:t>Expert contract action</w:t>
            </w:r>
          </w:p>
        </w:tc>
        <w:tc>
          <w:tcPr>
            <w:tcW w:w="0" w:type="auto"/>
          </w:tcPr>
          <w:p w14:paraId="18341CAE" w14:textId="77777777" w:rsidR="00401FAE" w:rsidRDefault="00401FAE">
            <w:pPr>
              <w:pStyle w:val="CellTextValue"/>
            </w:pPr>
          </w:p>
        </w:tc>
        <w:tc>
          <w:tcPr>
            <w:tcW w:w="0" w:type="auto"/>
          </w:tcPr>
          <w:p w14:paraId="223CF96F" w14:textId="77777777" w:rsidR="00401FAE" w:rsidRDefault="00787C76">
            <w:pPr>
              <w:pStyle w:val="CellTextValueNumeric"/>
            </w:pPr>
            <w:r>
              <w:t>See footnote</w:t>
            </w:r>
            <w:r>
              <w:rPr>
                <w:vertAlign w:val="superscript"/>
              </w:rPr>
              <w:footnoteReference w:id="105"/>
            </w:r>
          </w:p>
        </w:tc>
      </w:tr>
      <w:tr w:rsidR="00401FAE" w14:paraId="699B2743" w14:textId="77777777">
        <w:tc>
          <w:tcPr>
            <w:tcW w:w="0" w:type="auto"/>
            <w:vMerge/>
          </w:tcPr>
          <w:p w14:paraId="7CEC4338" w14:textId="77777777" w:rsidR="00401FAE" w:rsidRDefault="00401FAE">
            <w:pPr>
              <w:pStyle w:val="CellTextValue"/>
            </w:pPr>
          </w:p>
        </w:tc>
        <w:tc>
          <w:tcPr>
            <w:tcW w:w="0" w:type="auto"/>
          </w:tcPr>
          <w:p w14:paraId="0EDBAB4A" w14:textId="77777777" w:rsidR="00401FAE" w:rsidRDefault="00787C76">
            <w:pPr>
              <w:pStyle w:val="CellTextValueGray"/>
            </w:pPr>
            <w:r>
              <w:t>from 01.020210</w:t>
            </w:r>
          </w:p>
        </w:tc>
        <w:tc>
          <w:tcPr>
            <w:tcW w:w="0" w:type="auto"/>
          </w:tcPr>
          <w:p w14:paraId="1C46F7BF" w14:textId="77777777" w:rsidR="00401FAE" w:rsidRDefault="00787C76">
            <w:pPr>
              <w:pStyle w:val="CellTextValueNumericGray"/>
            </w:pPr>
            <w:r>
              <w:t>0.22</w:t>
            </w:r>
          </w:p>
        </w:tc>
      </w:tr>
      <w:tr w:rsidR="00401FAE" w14:paraId="639BCB99" w14:textId="77777777">
        <w:tc>
          <w:tcPr>
            <w:tcW w:w="0" w:type="auto"/>
            <w:vMerge/>
          </w:tcPr>
          <w:p w14:paraId="003E1D1F" w14:textId="77777777" w:rsidR="00401FAE" w:rsidRDefault="00401FAE">
            <w:pPr>
              <w:pStyle w:val="CellTextValue"/>
            </w:pPr>
          </w:p>
        </w:tc>
        <w:tc>
          <w:tcPr>
            <w:tcW w:w="0" w:type="auto"/>
          </w:tcPr>
          <w:p w14:paraId="69EFD153" w14:textId="77777777" w:rsidR="00401FAE" w:rsidRDefault="00787C76">
            <w:pPr>
              <w:pStyle w:val="CellTextValueGray"/>
            </w:pPr>
            <w:r>
              <w:t>from 01.020220</w:t>
            </w:r>
          </w:p>
        </w:tc>
        <w:tc>
          <w:tcPr>
            <w:tcW w:w="0" w:type="auto"/>
          </w:tcPr>
          <w:p w14:paraId="303E5DA8" w14:textId="77777777" w:rsidR="00401FAE" w:rsidRDefault="00787C76">
            <w:pPr>
              <w:pStyle w:val="CellTextValueNumericGray"/>
            </w:pPr>
            <w:r>
              <w:t>0.07</w:t>
            </w:r>
          </w:p>
        </w:tc>
      </w:tr>
      <w:tr w:rsidR="00401FAE" w14:paraId="7CBBC8CC" w14:textId="77777777">
        <w:tc>
          <w:tcPr>
            <w:tcW w:w="0" w:type="auto"/>
            <w:vMerge/>
          </w:tcPr>
          <w:p w14:paraId="6ADE970E" w14:textId="77777777" w:rsidR="00401FAE" w:rsidRDefault="00401FAE">
            <w:pPr>
              <w:pStyle w:val="CellTextValue"/>
            </w:pPr>
          </w:p>
        </w:tc>
        <w:tc>
          <w:tcPr>
            <w:tcW w:w="0" w:type="auto"/>
          </w:tcPr>
          <w:p w14:paraId="7855D231" w14:textId="77777777" w:rsidR="00401FAE" w:rsidRDefault="00787C76">
            <w:pPr>
              <w:pStyle w:val="CellTextValueGray"/>
            </w:pPr>
            <w:r>
              <w:t>from 01.020230</w:t>
            </w:r>
          </w:p>
        </w:tc>
        <w:tc>
          <w:tcPr>
            <w:tcW w:w="0" w:type="auto"/>
          </w:tcPr>
          <w:p w14:paraId="0F6DA767" w14:textId="77777777" w:rsidR="00401FAE" w:rsidRDefault="00787C76">
            <w:pPr>
              <w:pStyle w:val="CellTextValueNumericGray"/>
            </w:pPr>
            <w:r>
              <w:t>0.05</w:t>
            </w:r>
          </w:p>
        </w:tc>
      </w:tr>
      <w:tr w:rsidR="00401FAE" w14:paraId="46722858" w14:textId="77777777">
        <w:tc>
          <w:tcPr>
            <w:tcW w:w="0" w:type="auto"/>
            <w:vMerge/>
          </w:tcPr>
          <w:p w14:paraId="4B1324A8" w14:textId="77777777" w:rsidR="00401FAE" w:rsidRDefault="00401FAE">
            <w:pPr>
              <w:pStyle w:val="CellTextValue"/>
            </w:pPr>
          </w:p>
        </w:tc>
        <w:tc>
          <w:tcPr>
            <w:tcW w:w="0" w:type="auto"/>
          </w:tcPr>
          <w:p w14:paraId="38722643" w14:textId="77777777" w:rsidR="00401FAE" w:rsidRDefault="00787C76">
            <w:pPr>
              <w:pStyle w:val="CellTextValueGray"/>
            </w:pPr>
            <w:r>
              <w:t>from 01.020240</w:t>
            </w:r>
          </w:p>
        </w:tc>
        <w:tc>
          <w:tcPr>
            <w:tcW w:w="0" w:type="auto"/>
          </w:tcPr>
          <w:p w14:paraId="0E329B08" w14:textId="77777777" w:rsidR="00401FAE" w:rsidRDefault="00787C76">
            <w:pPr>
              <w:pStyle w:val="CellTextValueNumericGray"/>
            </w:pPr>
            <w:r>
              <w:t>0.44</w:t>
            </w:r>
          </w:p>
        </w:tc>
      </w:tr>
      <w:tr w:rsidR="00401FAE" w14:paraId="22F9EF81" w14:textId="77777777">
        <w:tc>
          <w:tcPr>
            <w:tcW w:w="0" w:type="auto"/>
            <w:vMerge/>
          </w:tcPr>
          <w:p w14:paraId="248298C7" w14:textId="77777777" w:rsidR="00401FAE" w:rsidRDefault="00401FAE">
            <w:pPr>
              <w:pStyle w:val="CellTextValue"/>
            </w:pPr>
          </w:p>
        </w:tc>
        <w:tc>
          <w:tcPr>
            <w:tcW w:w="0" w:type="auto"/>
          </w:tcPr>
          <w:p w14:paraId="412BD7D8" w14:textId="77777777" w:rsidR="00401FAE" w:rsidRDefault="00787C76">
            <w:pPr>
              <w:pStyle w:val="CellTextValueGray"/>
            </w:pPr>
            <w:r>
              <w:t>from 01.020250</w:t>
            </w:r>
          </w:p>
        </w:tc>
        <w:tc>
          <w:tcPr>
            <w:tcW w:w="0" w:type="auto"/>
          </w:tcPr>
          <w:p w14:paraId="4A04533C" w14:textId="77777777" w:rsidR="00401FAE" w:rsidRDefault="00787C76">
            <w:pPr>
              <w:pStyle w:val="CellTextValueNumericGray"/>
            </w:pPr>
            <w:r>
              <w:t>0.44</w:t>
            </w:r>
          </w:p>
        </w:tc>
      </w:tr>
      <w:tr w:rsidR="00401FAE" w14:paraId="76D6D63B" w14:textId="77777777">
        <w:tc>
          <w:tcPr>
            <w:tcW w:w="0" w:type="auto"/>
            <w:vMerge/>
          </w:tcPr>
          <w:p w14:paraId="6965DF02" w14:textId="77777777" w:rsidR="00401FAE" w:rsidRDefault="00401FAE">
            <w:pPr>
              <w:pStyle w:val="CellTextValue"/>
            </w:pPr>
          </w:p>
        </w:tc>
        <w:tc>
          <w:tcPr>
            <w:tcW w:w="0" w:type="auto"/>
          </w:tcPr>
          <w:p w14:paraId="042943F2" w14:textId="77777777" w:rsidR="00401FAE" w:rsidRDefault="00787C76">
            <w:pPr>
              <w:pStyle w:val="CellTextValueGray"/>
            </w:pPr>
            <w:r>
              <w:t>from 01.020260</w:t>
            </w:r>
          </w:p>
        </w:tc>
        <w:tc>
          <w:tcPr>
            <w:tcW w:w="0" w:type="auto"/>
          </w:tcPr>
          <w:p w14:paraId="3E2043D3" w14:textId="77777777" w:rsidR="00401FAE" w:rsidRDefault="00787C76">
            <w:pPr>
              <w:pStyle w:val="CellTextValueNumericGray"/>
            </w:pPr>
            <w:r>
              <w:t>0.29</w:t>
            </w:r>
          </w:p>
        </w:tc>
      </w:tr>
      <w:tr w:rsidR="00401FAE" w14:paraId="667B1DC6" w14:textId="77777777">
        <w:tc>
          <w:tcPr>
            <w:tcW w:w="0" w:type="auto"/>
            <w:vMerge w:val="restart"/>
          </w:tcPr>
          <w:p w14:paraId="2AE59ACF" w14:textId="77777777" w:rsidR="00401FAE" w:rsidRDefault="00787C76">
            <w:pPr>
              <w:pStyle w:val="CellTextValue"/>
            </w:pPr>
            <w:r>
              <w:t>Provision of technical/scientific services by the Joint Research Centre</w:t>
            </w:r>
          </w:p>
        </w:tc>
        <w:tc>
          <w:tcPr>
            <w:tcW w:w="0" w:type="auto"/>
          </w:tcPr>
          <w:p w14:paraId="4570B6F7" w14:textId="77777777" w:rsidR="00401FAE" w:rsidRDefault="00401FAE">
            <w:pPr>
              <w:pStyle w:val="CellTextValue"/>
            </w:pPr>
          </w:p>
        </w:tc>
        <w:tc>
          <w:tcPr>
            <w:tcW w:w="0" w:type="auto"/>
          </w:tcPr>
          <w:p w14:paraId="1027EB50" w14:textId="77777777" w:rsidR="00401FAE" w:rsidRDefault="00787C76">
            <w:pPr>
              <w:pStyle w:val="CellTextValueNumeric"/>
            </w:pPr>
            <w:r>
              <w:t>See footnote</w:t>
            </w:r>
            <w:r>
              <w:rPr>
                <w:vertAlign w:val="superscript"/>
              </w:rPr>
              <w:footnoteReference w:id="106"/>
            </w:r>
          </w:p>
        </w:tc>
      </w:tr>
      <w:tr w:rsidR="00401FAE" w14:paraId="5FAC5C78" w14:textId="77777777">
        <w:tc>
          <w:tcPr>
            <w:tcW w:w="0" w:type="auto"/>
            <w:vMerge/>
          </w:tcPr>
          <w:p w14:paraId="1C321A3C" w14:textId="77777777" w:rsidR="00401FAE" w:rsidRDefault="00401FAE">
            <w:pPr>
              <w:pStyle w:val="CellTextValue"/>
            </w:pPr>
          </w:p>
        </w:tc>
        <w:tc>
          <w:tcPr>
            <w:tcW w:w="0" w:type="auto"/>
          </w:tcPr>
          <w:p w14:paraId="49253973" w14:textId="77777777" w:rsidR="00401FAE" w:rsidRDefault="00787C76">
            <w:pPr>
              <w:pStyle w:val="CellTextValueGray"/>
            </w:pPr>
            <w:r>
              <w:t>from 01.020250</w:t>
            </w:r>
          </w:p>
        </w:tc>
        <w:tc>
          <w:tcPr>
            <w:tcW w:w="0" w:type="auto"/>
          </w:tcPr>
          <w:p w14:paraId="3419DFD2" w14:textId="77777777" w:rsidR="00401FAE" w:rsidRDefault="00787C76">
            <w:pPr>
              <w:pStyle w:val="CellTextValueNumericGray"/>
            </w:pPr>
            <w:r>
              <w:t>1.00</w:t>
            </w:r>
          </w:p>
        </w:tc>
      </w:tr>
      <w:tr w:rsidR="00401FAE" w14:paraId="687B67AB" w14:textId="77777777">
        <w:tc>
          <w:tcPr>
            <w:tcW w:w="0" w:type="auto"/>
            <w:vMerge w:val="restart"/>
          </w:tcPr>
          <w:p w14:paraId="726457FC" w14:textId="77777777" w:rsidR="00401FAE" w:rsidRDefault="00787C76">
            <w:pPr>
              <w:pStyle w:val="CellTextValue"/>
            </w:pPr>
            <w:r>
              <w:t>Grant to identified beneficiary according to Financial Regulation Article 195(e)</w:t>
            </w:r>
          </w:p>
        </w:tc>
        <w:tc>
          <w:tcPr>
            <w:tcW w:w="0" w:type="auto"/>
          </w:tcPr>
          <w:p w14:paraId="0E904A13" w14:textId="77777777" w:rsidR="00401FAE" w:rsidRDefault="00401FAE">
            <w:pPr>
              <w:pStyle w:val="CellTextValue"/>
            </w:pPr>
          </w:p>
        </w:tc>
        <w:tc>
          <w:tcPr>
            <w:tcW w:w="0" w:type="auto"/>
          </w:tcPr>
          <w:p w14:paraId="50766131" w14:textId="77777777" w:rsidR="00401FAE" w:rsidRDefault="00787C76">
            <w:pPr>
              <w:pStyle w:val="CellTextValueNumeric"/>
            </w:pPr>
            <w:r>
              <w:t>See footnote</w:t>
            </w:r>
            <w:r>
              <w:rPr>
                <w:vertAlign w:val="superscript"/>
              </w:rPr>
              <w:footnoteReference w:id="107"/>
            </w:r>
          </w:p>
        </w:tc>
      </w:tr>
      <w:tr w:rsidR="00401FAE" w14:paraId="34AF6146" w14:textId="77777777">
        <w:tc>
          <w:tcPr>
            <w:tcW w:w="0" w:type="auto"/>
            <w:vMerge/>
          </w:tcPr>
          <w:p w14:paraId="61450747" w14:textId="77777777" w:rsidR="00401FAE" w:rsidRDefault="00401FAE">
            <w:pPr>
              <w:pStyle w:val="CellTextValue"/>
            </w:pPr>
          </w:p>
        </w:tc>
        <w:tc>
          <w:tcPr>
            <w:tcW w:w="0" w:type="auto"/>
          </w:tcPr>
          <w:p w14:paraId="303507CF" w14:textId="77777777" w:rsidR="00401FAE" w:rsidRDefault="00787C76">
            <w:pPr>
              <w:pStyle w:val="CellTextValueGray"/>
            </w:pPr>
            <w:r>
              <w:t>from 01.020210</w:t>
            </w:r>
          </w:p>
        </w:tc>
        <w:tc>
          <w:tcPr>
            <w:tcW w:w="0" w:type="auto"/>
          </w:tcPr>
          <w:p w14:paraId="7D7961F1" w14:textId="77777777" w:rsidR="00401FAE" w:rsidRDefault="00787C76">
            <w:pPr>
              <w:pStyle w:val="CellTextValueNumericGray"/>
            </w:pPr>
            <w:r>
              <w:t>0.02</w:t>
            </w:r>
          </w:p>
        </w:tc>
      </w:tr>
      <w:tr w:rsidR="00401FAE" w14:paraId="48E2DEC6" w14:textId="77777777">
        <w:tc>
          <w:tcPr>
            <w:tcW w:w="0" w:type="auto"/>
            <w:vMerge/>
          </w:tcPr>
          <w:p w14:paraId="473384AF" w14:textId="77777777" w:rsidR="00401FAE" w:rsidRDefault="00401FAE">
            <w:pPr>
              <w:pStyle w:val="CellTextValue"/>
            </w:pPr>
          </w:p>
        </w:tc>
        <w:tc>
          <w:tcPr>
            <w:tcW w:w="0" w:type="auto"/>
          </w:tcPr>
          <w:p w14:paraId="1E7607A4" w14:textId="77777777" w:rsidR="00401FAE" w:rsidRDefault="00787C76">
            <w:pPr>
              <w:pStyle w:val="CellTextValueGray"/>
            </w:pPr>
            <w:r>
              <w:t>from 01.020220</w:t>
            </w:r>
          </w:p>
        </w:tc>
        <w:tc>
          <w:tcPr>
            <w:tcW w:w="0" w:type="auto"/>
          </w:tcPr>
          <w:p w14:paraId="310FDECB" w14:textId="77777777" w:rsidR="00401FAE" w:rsidRDefault="00787C76">
            <w:pPr>
              <w:pStyle w:val="CellTextValueNumericGray"/>
            </w:pPr>
            <w:r>
              <w:t>0.01</w:t>
            </w:r>
          </w:p>
        </w:tc>
      </w:tr>
      <w:tr w:rsidR="00401FAE" w14:paraId="4EB0220F" w14:textId="77777777">
        <w:tc>
          <w:tcPr>
            <w:tcW w:w="0" w:type="auto"/>
            <w:vMerge/>
          </w:tcPr>
          <w:p w14:paraId="42892147" w14:textId="77777777" w:rsidR="00401FAE" w:rsidRDefault="00401FAE">
            <w:pPr>
              <w:pStyle w:val="CellTextValue"/>
            </w:pPr>
          </w:p>
        </w:tc>
        <w:tc>
          <w:tcPr>
            <w:tcW w:w="0" w:type="auto"/>
          </w:tcPr>
          <w:p w14:paraId="21CE8859" w14:textId="77777777" w:rsidR="00401FAE" w:rsidRDefault="00787C76">
            <w:pPr>
              <w:pStyle w:val="CellTextValueGray"/>
            </w:pPr>
            <w:r>
              <w:t>from 01.020230</w:t>
            </w:r>
          </w:p>
        </w:tc>
        <w:tc>
          <w:tcPr>
            <w:tcW w:w="0" w:type="auto"/>
          </w:tcPr>
          <w:p w14:paraId="0B5172DC" w14:textId="77777777" w:rsidR="00401FAE" w:rsidRDefault="00787C76">
            <w:pPr>
              <w:pStyle w:val="CellTextValueNumericGray"/>
            </w:pPr>
            <w:r>
              <w:t>0.01</w:t>
            </w:r>
          </w:p>
        </w:tc>
      </w:tr>
      <w:tr w:rsidR="00401FAE" w14:paraId="069FFE56" w14:textId="77777777">
        <w:tc>
          <w:tcPr>
            <w:tcW w:w="0" w:type="auto"/>
            <w:vMerge/>
          </w:tcPr>
          <w:p w14:paraId="561785DF" w14:textId="77777777" w:rsidR="00401FAE" w:rsidRDefault="00401FAE">
            <w:pPr>
              <w:pStyle w:val="CellTextValue"/>
            </w:pPr>
          </w:p>
        </w:tc>
        <w:tc>
          <w:tcPr>
            <w:tcW w:w="0" w:type="auto"/>
          </w:tcPr>
          <w:p w14:paraId="5F778F7B" w14:textId="77777777" w:rsidR="00401FAE" w:rsidRDefault="00787C76">
            <w:pPr>
              <w:pStyle w:val="CellTextValueGray"/>
            </w:pPr>
            <w:r>
              <w:t>from 01.020240</w:t>
            </w:r>
          </w:p>
        </w:tc>
        <w:tc>
          <w:tcPr>
            <w:tcW w:w="0" w:type="auto"/>
          </w:tcPr>
          <w:p w14:paraId="08C848DD" w14:textId="77777777" w:rsidR="00401FAE" w:rsidRDefault="00787C76">
            <w:pPr>
              <w:pStyle w:val="CellTextValueNumericGray"/>
            </w:pPr>
            <w:r>
              <w:t>0.04</w:t>
            </w:r>
          </w:p>
        </w:tc>
      </w:tr>
      <w:tr w:rsidR="00401FAE" w14:paraId="5C9FFD68" w14:textId="77777777">
        <w:tc>
          <w:tcPr>
            <w:tcW w:w="0" w:type="auto"/>
            <w:vMerge/>
          </w:tcPr>
          <w:p w14:paraId="42ECD79F" w14:textId="77777777" w:rsidR="00401FAE" w:rsidRDefault="00401FAE">
            <w:pPr>
              <w:pStyle w:val="CellTextValue"/>
            </w:pPr>
          </w:p>
        </w:tc>
        <w:tc>
          <w:tcPr>
            <w:tcW w:w="0" w:type="auto"/>
          </w:tcPr>
          <w:p w14:paraId="1318D950" w14:textId="77777777" w:rsidR="00401FAE" w:rsidRDefault="00787C76">
            <w:pPr>
              <w:pStyle w:val="CellTextValueGray"/>
            </w:pPr>
            <w:r>
              <w:t>from 01.020250</w:t>
            </w:r>
          </w:p>
        </w:tc>
        <w:tc>
          <w:tcPr>
            <w:tcW w:w="0" w:type="auto"/>
          </w:tcPr>
          <w:p w14:paraId="3B5590C7" w14:textId="77777777" w:rsidR="00401FAE" w:rsidRDefault="00787C76">
            <w:pPr>
              <w:pStyle w:val="CellTextValueNumericGray"/>
            </w:pPr>
            <w:r>
              <w:t>0.04</w:t>
            </w:r>
          </w:p>
        </w:tc>
      </w:tr>
      <w:tr w:rsidR="00401FAE" w14:paraId="53512D31" w14:textId="77777777">
        <w:tc>
          <w:tcPr>
            <w:tcW w:w="0" w:type="auto"/>
            <w:vMerge/>
          </w:tcPr>
          <w:p w14:paraId="00C953D4" w14:textId="77777777" w:rsidR="00401FAE" w:rsidRDefault="00401FAE">
            <w:pPr>
              <w:pStyle w:val="CellTextValue"/>
            </w:pPr>
          </w:p>
        </w:tc>
        <w:tc>
          <w:tcPr>
            <w:tcW w:w="0" w:type="auto"/>
          </w:tcPr>
          <w:p w14:paraId="46A1A5B6" w14:textId="77777777" w:rsidR="00401FAE" w:rsidRDefault="00787C76">
            <w:pPr>
              <w:pStyle w:val="CellTextValueGray"/>
            </w:pPr>
            <w:r>
              <w:t>from 01.020260</w:t>
            </w:r>
          </w:p>
        </w:tc>
        <w:tc>
          <w:tcPr>
            <w:tcW w:w="0" w:type="auto"/>
          </w:tcPr>
          <w:p w14:paraId="425F0BB6" w14:textId="77777777" w:rsidR="00401FAE" w:rsidRDefault="00787C76">
            <w:pPr>
              <w:pStyle w:val="CellTextValueNumericGray"/>
            </w:pPr>
            <w:r>
              <w:t>0.03</w:t>
            </w:r>
          </w:p>
        </w:tc>
      </w:tr>
      <w:tr w:rsidR="00787C76" w14:paraId="4984C4FC" w14:textId="77777777" w:rsidTr="00787C76">
        <w:tc>
          <w:tcPr>
            <w:tcW w:w="0" w:type="auto"/>
            <w:gridSpan w:val="2"/>
          </w:tcPr>
          <w:p w14:paraId="6C3F961A" w14:textId="77777777" w:rsidR="00401FAE" w:rsidRDefault="00787C76">
            <w:pPr>
              <w:pStyle w:val="CellTextValue"/>
            </w:pPr>
            <w:r>
              <w:rPr>
                <w:b/>
              </w:rPr>
              <w:t>Estimated total budget</w:t>
            </w:r>
          </w:p>
        </w:tc>
        <w:tc>
          <w:tcPr>
            <w:tcW w:w="0" w:type="auto"/>
          </w:tcPr>
          <w:p w14:paraId="5E6E5376" w14:textId="77777777" w:rsidR="00401FAE" w:rsidRDefault="00787C76">
            <w:pPr>
              <w:pStyle w:val="CellTextValueNumeric"/>
            </w:pPr>
            <w:r>
              <w:t>57.65</w:t>
            </w:r>
          </w:p>
        </w:tc>
      </w:tr>
    </w:tbl>
    <w:p w14:paraId="0585DFB3" w14:textId="77777777" w:rsidR="00401FAE" w:rsidRDefault="00401FAE">
      <w:pPr>
        <w:spacing w:after="0" w:line="150" w:lineRule="auto"/>
      </w:pPr>
    </w:p>
    <w:sectPr w:rsidR="00401FAE">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165C" w14:textId="77777777" w:rsidR="005E4C75" w:rsidRDefault="005E4C75" w:rsidP="0082499D">
      <w:pPr>
        <w:spacing w:after="0" w:line="240" w:lineRule="auto"/>
      </w:pPr>
      <w:r>
        <w:separator/>
      </w:r>
    </w:p>
  </w:endnote>
  <w:endnote w:type="continuationSeparator" w:id="0">
    <w:p w14:paraId="2271BD8A" w14:textId="77777777" w:rsidR="005E4C75" w:rsidRDefault="005E4C75"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F749" w14:textId="77777777" w:rsidR="0005773C" w:rsidRPr="005E24C6" w:rsidRDefault="00DF5E1F" w:rsidP="00D7779A">
    <w:pPr>
      <w:pStyle w:val="FooterStyle"/>
      <w:rPr>
        <w:szCs w:val="20"/>
      </w:rPr>
    </w:pPr>
    <w:r>
      <w:t xml:space="preserve">Part 12 - Page </w:t>
    </w:r>
    <w:r w:rsidRPr="005E24C6">
      <w:rPr>
        <w:szCs w:val="20"/>
      </w:rPr>
      <w:fldChar w:fldCharType="begin"/>
    </w:r>
    <w:r w:rsidRPr="005E24C6">
      <w:rPr>
        <w:szCs w:val="20"/>
      </w:rPr>
      <w:instrText xml:space="preserve"> PAGE   \* MERGEFORMAT </w:instrText>
    </w:r>
    <w:r w:rsidRPr="005E24C6">
      <w:rPr>
        <w:szCs w:val="20"/>
      </w:rPr>
      <w:fldChar w:fldCharType="separate"/>
    </w:r>
    <w:r w:rsidR="00E21EA1">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E21EA1">
      <w:rPr>
        <w:noProof/>
        <w:szCs w:val="20"/>
      </w:rPr>
      <w:t>30</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883F" w14:textId="77777777" w:rsidR="005E4C75" w:rsidRDefault="005E4C75" w:rsidP="0082499D">
      <w:pPr>
        <w:spacing w:after="0" w:line="240" w:lineRule="auto"/>
      </w:pPr>
      <w:r>
        <w:separator/>
      </w:r>
    </w:p>
  </w:footnote>
  <w:footnote w:type="continuationSeparator" w:id="0">
    <w:p w14:paraId="742BAA18" w14:textId="77777777" w:rsidR="005E4C75" w:rsidRDefault="005E4C75" w:rsidP="0082499D">
      <w:pPr>
        <w:spacing w:after="0" w:line="240" w:lineRule="auto"/>
      </w:pPr>
      <w:r>
        <w:continuationSeparator/>
      </w:r>
    </w:p>
  </w:footnote>
  <w:footnote w:id="1">
    <w:p w14:paraId="1973722C" w14:textId="77777777" w:rsidR="00401FAE" w:rsidRDefault="00787C76">
      <w:pPr>
        <w:pStyle w:val="footnote1"/>
      </w:pPr>
      <w:r>
        <w:rPr>
          <w:vertAlign w:val="superscript"/>
        </w:rPr>
        <w:footnoteRef/>
      </w:r>
      <w:r>
        <w:rPr>
          <w:vertAlign w:val="superscript"/>
        </w:rPr>
        <w:tab/>
      </w:r>
      <w:hyperlink r:id="rId1">
        <w:r>
          <w:rPr>
            <w:color w:val="0000FF"/>
            <w:szCs w:val="20"/>
            <w:u w:val="single"/>
          </w:rPr>
          <w:t>https://ec.europa.eu/info/horizon-europe/missions-horizon-europe/assessment-criteria_en</w:t>
        </w:r>
      </w:hyperlink>
    </w:p>
  </w:footnote>
  <w:footnote w:id="2">
    <w:p w14:paraId="7CEFC844"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5E2C115" w14:textId="77777777" w:rsidR="00401FAE" w:rsidRDefault="00787C76">
      <w:pPr>
        <w:pStyle w:val="footnote2"/>
      </w:pPr>
      <w:r>
        <w:rPr>
          <w:color w:val="000000"/>
        </w:rPr>
        <w:t>The Director-General responsible may delay the deadline(s) by up to two months.</w:t>
      </w:r>
    </w:p>
    <w:p w14:paraId="3715F728" w14:textId="77777777" w:rsidR="00401FAE" w:rsidRDefault="00787C76">
      <w:pPr>
        <w:pStyle w:val="footnote2"/>
      </w:pPr>
      <w:r>
        <w:rPr>
          <w:color w:val="000000"/>
        </w:rPr>
        <w:t>All deadlines are at 17.00.00 Brussels local time.</w:t>
      </w:r>
    </w:p>
    <w:p w14:paraId="60B779AB"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3">
    <w:p w14:paraId="79C3818A"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
    <w:p w14:paraId="5C4D84F7" w14:textId="77777777" w:rsidR="00401FAE" w:rsidRDefault="00787C76">
      <w:pPr>
        <w:pStyle w:val="footnote1"/>
      </w:pPr>
      <w:r>
        <w:rPr>
          <w:vertAlign w:val="superscript"/>
        </w:rPr>
        <w:footnoteRef/>
      </w:r>
      <w:r>
        <w:rPr>
          <w:vertAlign w:val="superscript"/>
        </w:rPr>
        <w:tab/>
      </w:r>
      <w:r>
        <w:rPr>
          <w:color w:val="000000"/>
        </w:rPr>
        <w:t>Of which EUR 1.50 million from the 'Food, Bioeconomy, Natural Resources, Agriculture and Environment' budget and EUR 1.00 million from the 'Digital, Industry and Space' budget and EUR 2.50 million from the 'Climate, Energy and Mobility' budget.</w:t>
      </w:r>
    </w:p>
  </w:footnote>
  <w:footnote w:id="5">
    <w:p w14:paraId="24F2DF0F" w14:textId="77777777" w:rsidR="00401FAE" w:rsidRDefault="00787C76">
      <w:pPr>
        <w:pStyle w:val="footnote1"/>
      </w:pPr>
      <w:r>
        <w:rPr>
          <w:vertAlign w:val="superscript"/>
        </w:rPr>
        <w:footnoteRef/>
      </w:r>
      <w:r>
        <w:rPr>
          <w:vertAlign w:val="superscript"/>
        </w:rPr>
        <w:tab/>
      </w:r>
      <w:r>
        <w:rPr>
          <w:color w:val="000000"/>
        </w:rPr>
        <w:t>See scope section for more details on the outcomes and objectives to be addressed.</w:t>
      </w:r>
    </w:p>
  </w:footnote>
  <w:footnote w:id="6">
    <w:p w14:paraId="1464086F" w14:textId="77777777" w:rsidR="00401FAE" w:rsidRDefault="00787C76">
      <w:pPr>
        <w:pStyle w:val="footnote1"/>
      </w:pPr>
      <w:r>
        <w:rPr>
          <w:vertAlign w:val="superscript"/>
        </w:rPr>
        <w:footnoteRef/>
      </w:r>
      <w:r>
        <w:rPr>
          <w:vertAlign w:val="superscript"/>
        </w:rPr>
        <w:tab/>
      </w:r>
      <w:r>
        <w:rPr>
          <w:color w:val="000000"/>
        </w:rPr>
        <w:t>COM(2020) 80 final</w:t>
      </w:r>
    </w:p>
  </w:footnote>
  <w:footnote w:id="7">
    <w:p w14:paraId="5CA456D3" w14:textId="77777777" w:rsidR="00401FAE" w:rsidRDefault="00787C76">
      <w:pPr>
        <w:pStyle w:val="footnote1"/>
      </w:pPr>
      <w:r>
        <w:rPr>
          <w:vertAlign w:val="superscript"/>
        </w:rPr>
        <w:footnoteRef/>
      </w:r>
      <w:r>
        <w:rPr>
          <w:vertAlign w:val="superscript"/>
        </w:rPr>
        <w:tab/>
      </w:r>
      <w:r>
        <w:rPr>
          <w:color w:val="000000"/>
        </w:rPr>
        <w:t>COM(2021) 82 final</w:t>
      </w:r>
    </w:p>
  </w:footnote>
  <w:footnote w:id="8">
    <w:p w14:paraId="27A3C7F4" w14:textId="77777777" w:rsidR="00401FAE" w:rsidRDefault="00787C76">
      <w:pPr>
        <w:pStyle w:val="footnote1"/>
      </w:pPr>
      <w:r>
        <w:rPr>
          <w:vertAlign w:val="superscript"/>
        </w:rPr>
        <w:footnoteRef/>
      </w:r>
      <w:r>
        <w:rPr>
          <w:vertAlign w:val="superscript"/>
        </w:rPr>
        <w:tab/>
      </w:r>
      <w:r>
        <w:rPr>
          <w:color w:val="000000"/>
        </w:rPr>
        <w:t>COM(2020) 220 final</w:t>
      </w:r>
    </w:p>
  </w:footnote>
  <w:footnote w:id="9">
    <w:p w14:paraId="513A9350" w14:textId="77777777" w:rsidR="00401FAE" w:rsidRDefault="00787C76">
      <w:pPr>
        <w:pStyle w:val="footnote1"/>
      </w:pPr>
      <w:r>
        <w:rPr>
          <w:vertAlign w:val="superscript"/>
        </w:rPr>
        <w:footnoteRef/>
      </w:r>
      <w:r>
        <w:rPr>
          <w:vertAlign w:val="superscript"/>
        </w:rPr>
        <w:tab/>
      </w:r>
      <w:hyperlink r:id="rId2" w:anchor="initiatives">
        <w:r>
          <w:rPr>
            <w:color w:val="0000FF"/>
            <w:szCs w:val="20"/>
            <w:u w:val="single"/>
          </w:rPr>
          <w:t>https://ec.europa.eu/info/research-and-innovation/strategy/european-research-infrastructures_en#initiatives</w:t>
        </w:r>
      </w:hyperlink>
    </w:p>
  </w:footnote>
  <w:footnote w:id="10">
    <w:p w14:paraId="4F323C54" w14:textId="77777777" w:rsidR="00401FAE" w:rsidRDefault="00787C76">
      <w:pPr>
        <w:pStyle w:val="footnote1"/>
      </w:pPr>
      <w:r>
        <w:rPr>
          <w:vertAlign w:val="superscript"/>
        </w:rPr>
        <w:footnoteRef/>
      </w:r>
      <w:r>
        <w:rPr>
          <w:vertAlign w:val="superscript"/>
        </w:rPr>
        <w:tab/>
      </w:r>
      <w:r>
        <w:rPr>
          <w:color w:val="000000"/>
        </w:rPr>
        <w:t>COM(2020) 788</w:t>
      </w:r>
    </w:p>
  </w:footnote>
  <w:footnote w:id="11">
    <w:p w14:paraId="55413B4E" w14:textId="77777777" w:rsidR="00401FAE" w:rsidRDefault="00787C76">
      <w:pPr>
        <w:pStyle w:val="footnote1"/>
      </w:pPr>
      <w:r>
        <w:rPr>
          <w:vertAlign w:val="superscript"/>
        </w:rPr>
        <w:footnoteRef/>
      </w:r>
      <w:r>
        <w:rPr>
          <w:vertAlign w:val="superscript"/>
        </w:rPr>
        <w:tab/>
      </w:r>
      <w:hyperlink r:id="rId3">
        <w:r>
          <w:rPr>
            <w:color w:val="0000FF"/>
            <w:szCs w:val="20"/>
            <w:u w:val="single"/>
          </w:rPr>
          <w:t>https://www.eea.europa.eu/highlights/citizen-science-on-air-quality</w:t>
        </w:r>
      </w:hyperlink>
    </w:p>
  </w:footnote>
  <w:footnote w:id="12">
    <w:p w14:paraId="428D028B" w14:textId="77777777" w:rsidR="00401FAE" w:rsidRDefault="00787C76">
      <w:pPr>
        <w:pStyle w:val="footnote1"/>
      </w:pPr>
      <w:r>
        <w:rPr>
          <w:vertAlign w:val="superscript"/>
        </w:rPr>
        <w:footnoteRef/>
      </w:r>
      <w:r>
        <w:rPr>
          <w:vertAlign w:val="superscript"/>
        </w:rPr>
        <w:tab/>
      </w:r>
      <w:r>
        <w:rPr>
          <w:color w:val="000000"/>
        </w:rPr>
        <w:t>User-centred, open innovation ecosystems based on a systematic user co-creation approach integrating research and innovation processes in real life communities and settings.</w:t>
      </w:r>
    </w:p>
  </w:footnote>
  <w:footnote w:id="13">
    <w:p w14:paraId="36A754DB" w14:textId="77777777" w:rsidR="00401FAE" w:rsidRDefault="00787C76">
      <w:pPr>
        <w:pStyle w:val="footnote1"/>
      </w:pPr>
      <w:r>
        <w:rPr>
          <w:vertAlign w:val="superscript"/>
        </w:rPr>
        <w:footnoteRef/>
      </w:r>
      <w:r>
        <w:rPr>
          <w:vertAlign w:val="superscript"/>
        </w:rPr>
        <w:tab/>
      </w:r>
      <w:r>
        <w:rPr>
          <w:color w:val="000000"/>
        </w:rPr>
        <w:t xml:space="preserve">Possible participants: experts from a variety of sectors (private, public, academia) with experience on the services to be provided by the topic. National, regional or local authorities could also be part of the consortium if they possess the expertise required to deliver the services outlined in the topic. </w:t>
      </w:r>
    </w:p>
  </w:footnote>
  <w:footnote w:id="14">
    <w:p w14:paraId="4C6F1E8A" w14:textId="77777777" w:rsidR="00401FAE" w:rsidRDefault="00787C76">
      <w:pPr>
        <w:pStyle w:val="footnote1"/>
      </w:pPr>
      <w:r>
        <w:rPr>
          <w:vertAlign w:val="superscript"/>
        </w:rPr>
        <w:footnoteRef/>
      </w:r>
      <w:r>
        <w:rPr>
          <w:vertAlign w:val="superscript"/>
        </w:rPr>
        <w:tab/>
      </w:r>
      <w:r>
        <w:rPr>
          <w:color w:val="000000"/>
        </w:rPr>
        <w:t>Vulnerability is the propensity or predisposition to be adversely affected. Vulnerability encompasses a variety of concepts and elements including sensitivity or susceptibility to harm and lack of capacity to cope and adapt (IPCC, 2018 – SR Global Warming of 1.5 ºC).</w:t>
      </w:r>
    </w:p>
  </w:footnote>
  <w:footnote w:id="15">
    <w:p w14:paraId="5DF36AD3" w14:textId="77777777" w:rsidR="00401FAE" w:rsidRDefault="00787C76">
      <w:pPr>
        <w:pStyle w:val="footnote1"/>
      </w:pPr>
      <w:r>
        <w:rPr>
          <w:vertAlign w:val="superscript"/>
        </w:rPr>
        <w:footnoteRef/>
      </w:r>
      <w:r>
        <w:rPr>
          <w:vertAlign w:val="superscript"/>
        </w:rPr>
        <w:tab/>
      </w:r>
      <w:r>
        <w:rPr>
          <w:color w:val="000000"/>
        </w:rPr>
        <w:t>Adaptive capacity is the ability of systems, institutions, humans and other organisms to adjust to potential damage, to take advantage of opportunities, or to respond to consequences (IPCC, 2018 – SR Global Warming of 1.5 ºC).</w:t>
      </w:r>
    </w:p>
  </w:footnote>
  <w:footnote w:id="16">
    <w:p w14:paraId="5E56008F" w14:textId="77777777" w:rsidR="00401FAE" w:rsidRDefault="00787C76">
      <w:pPr>
        <w:pStyle w:val="footnote1"/>
      </w:pPr>
      <w:r>
        <w:rPr>
          <w:vertAlign w:val="superscript"/>
        </w:rPr>
        <w:footnoteRef/>
      </w:r>
      <w:r>
        <w:rPr>
          <w:vertAlign w:val="superscript"/>
        </w:rPr>
        <w:tab/>
      </w:r>
      <w:r>
        <w:rPr>
          <w:color w:val="000000"/>
        </w:rPr>
        <w:t>Both common and rare cancers or cancer subtypes, at all stages of cancer, any age or part of society.</w:t>
      </w:r>
    </w:p>
  </w:footnote>
  <w:footnote w:id="17">
    <w:p w14:paraId="24605AF9" w14:textId="77777777" w:rsidR="00401FAE" w:rsidRDefault="00787C76">
      <w:pPr>
        <w:pStyle w:val="footnote1"/>
      </w:pPr>
      <w:r>
        <w:rPr>
          <w:vertAlign w:val="superscript"/>
        </w:rPr>
        <w:footnoteRef/>
      </w:r>
      <w:r>
        <w:rPr>
          <w:vertAlign w:val="superscript"/>
        </w:rPr>
        <w:tab/>
      </w:r>
      <w:r>
        <w:rPr>
          <w:color w:val="000000"/>
        </w:rPr>
        <w:t xml:space="preserve">Health in All Policies is an approach to public policies across sectors that systematically takes into account the health implications of decisions, seeks synergies, and avoids harmful health impacts in order to improve population health and health equity. </w:t>
      </w:r>
      <w:hyperlink r:id="rId4">
        <w:r>
          <w:rPr>
            <w:color w:val="0000FF"/>
            <w:szCs w:val="20"/>
            <w:u w:val="single"/>
          </w:rPr>
          <w:t>https://www.who.int/social_determinants/publications/health-policies-manual/key-messages-en.pdf</w:t>
        </w:r>
      </w:hyperlink>
    </w:p>
  </w:footnote>
  <w:footnote w:id="18">
    <w:p w14:paraId="1F8EC0F3" w14:textId="77777777" w:rsidR="00401FAE" w:rsidRDefault="00787C76">
      <w:pPr>
        <w:pStyle w:val="footnote1"/>
      </w:pPr>
      <w:r>
        <w:rPr>
          <w:vertAlign w:val="superscript"/>
        </w:rPr>
        <w:footnoteRef/>
      </w:r>
      <w:r>
        <w:rPr>
          <w:vertAlign w:val="superscript"/>
        </w:rPr>
        <w:tab/>
      </w:r>
      <w:hyperlink r:id="rId5">
        <w:r>
          <w:rPr>
            <w:color w:val="0000FF"/>
            <w:szCs w:val="20"/>
            <w:u w:val="single"/>
          </w:rPr>
          <w:t>https://ec.europa.eu/info/law/better-regulation/have-your-say/initiatives/12154-Europe-s-Beating-Cancer-Plan</w:t>
        </w:r>
      </w:hyperlink>
    </w:p>
  </w:footnote>
  <w:footnote w:id="19">
    <w:p w14:paraId="428CF07C" w14:textId="77777777" w:rsidR="00401FAE" w:rsidRDefault="00787C76">
      <w:pPr>
        <w:pStyle w:val="footnote1"/>
      </w:pPr>
      <w:r>
        <w:rPr>
          <w:vertAlign w:val="superscript"/>
        </w:rPr>
        <w:footnoteRef/>
      </w:r>
      <w:r>
        <w:rPr>
          <w:vertAlign w:val="superscript"/>
        </w:rPr>
        <w:tab/>
      </w:r>
      <w:hyperlink r:id="rId6">
        <w:r>
          <w:rPr>
            <w:color w:val="0000FF"/>
            <w:szCs w:val="20"/>
            <w:u w:val="single"/>
          </w:rPr>
          <w:t>https://ec.europa.eu/food/farm2fork_en</w:t>
        </w:r>
      </w:hyperlink>
    </w:p>
  </w:footnote>
  <w:footnote w:id="20">
    <w:p w14:paraId="33F2A674" w14:textId="77777777" w:rsidR="00401FAE" w:rsidRDefault="00787C76">
      <w:pPr>
        <w:pStyle w:val="footnote1"/>
      </w:pPr>
      <w:r>
        <w:rPr>
          <w:vertAlign w:val="superscript"/>
        </w:rPr>
        <w:footnoteRef/>
      </w:r>
      <w:r>
        <w:rPr>
          <w:vertAlign w:val="superscript"/>
        </w:rPr>
        <w:tab/>
      </w:r>
      <w:hyperlink r:id="rId7">
        <w:r>
          <w:rPr>
            <w:color w:val="0000FF"/>
            <w:szCs w:val="20"/>
            <w:u w:val="single"/>
          </w:rPr>
          <w:t>https://ec.europa.eu/info/strategy/priorities-2019-2024/europe-fit-digital-age/european-industrial-strategy_en</w:t>
        </w:r>
      </w:hyperlink>
    </w:p>
  </w:footnote>
  <w:footnote w:id="21">
    <w:p w14:paraId="7EE88F12" w14:textId="77777777" w:rsidR="00401FAE" w:rsidRDefault="00787C76">
      <w:pPr>
        <w:pStyle w:val="footnote1"/>
      </w:pPr>
      <w:r>
        <w:rPr>
          <w:vertAlign w:val="superscript"/>
        </w:rPr>
        <w:footnoteRef/>
      </w:r>
      <w:r>
        <w:rPr>
          <w:vertAlign w:val="superscript"/>
        </w:rPr>
        <w:tab/>
      </w:r>
      <w:hyperlink r:id="rId8">
        <w:r>
          <w:rPr>
            <w:color w:val="0000FF"/>
            <w:szCs w:val="20"/>
            <w:u w:val="single"/>
          </w:rPr>
          <w:t>https://ec.europa.eu/info/strategy/priorities-2019-2024/europe-fit-digital-age_en</w:t>
        </w:r>
      </w:hyperlink>
    </w:p>
  </w:footnote>
  <w:footnote w:id="22">
    <w:p w14:paraId="3AC5AB10"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C4052AA" w14:textId="77777777" w:rsidR="00401FAE" w:rsidRDefault="00787C76">
      <w:pPr>
        <w:pStyle w:val="footnote2"/>
      </w:pPr>
      <w:r>
        <w:rPr>
          <w:color w:val="000000"/>
        </w:rPr>
        <w:t>The Director-General responsible may delay the deadline(s) by up to two months.</w:t>
      </w:r>
    </w:p>
    <w:p w14:paraId="5AB01308" w14:textId="77777777" w:rsidR="00401FAE" w:rsidRDefault="00787C76">
      <w:pPr>
        <w:pStyle w:val="footnote2"/>
      </w:pPr>
      <w:r>
        <w:rPr>
          <w:color w:val="000000"/>
        </w:rPr>
        <w:t>All deadlines are at 17.00.00 Brussels local time.</w:t>
      </w:r>
    </w:p>
    <w:p w14:paraId="2FD6FA7D"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23">
    <w:p w14:paraId="65546C6B"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
    <w:p w14:paraId="72D02AFF" w14:textId="77777777" w:rsidR="00401FAE" w:rsidRDefault="00787C76">
      <w:pPr>
        <w:pStyle w:val="footnote1"/>
      </w:pPr>
      <w:r>
        <w:rPr>
          <w:vertAlign w:val="superscript"/>
        </w:rPr>
        <w:footnoteRef/>
      </w:r>
      <w:r>
        <w:rPr>
          <w:vertAlign w:val="superscript"/>
        </w:rPr>
        <w:tab/>
      </w:r>
      <w:r>
        <w:rPr>
          <w:color w:val="000000"/>
        </w:rPr>
        <w:t>Of which EUR 3.00 million from the 'Health' budget.</w:t>
      </w:r>
    </w:p>
  </w:footnote>
  <w:footnote w:id="25">
    <w:p w14:paraId="370E6895" w14:textId="77777777" w:rsidR="00401FAE" w:rsidRDefault="00787C76">
      <w:pPr>
        <w:pStyle w:val="footnote1"/>
      </w:pPr>
      <w:r>
        <w:rPr>
          <w:vertAlign w:val="superscript"/>
        </w:rPr>
        <w:footnoteRef/>
      </w:r>
      <w:r>
        <w:rPr>
          <w:vertAlign w:val="superscript"/>
        </w:rPr>
        <w:tab/>
      </w:r>
      <w:r>
        <w:rPr>
          <w:color w:val="000000"/>
        </w:rPr>
        <w:t>Innovators turn research results into new and better services and products in order to remain competitive in the global marketplace and improve the quality of life of Europe’s citizens.</w:t>
      </w:r>
    </w:p>
  </w:footnote>
  <w:footnote w:id="26">
    <w:p w14:paraId="3ECEDDFE" w14:textId="77777777" w:rsidR="00401FAE" w:rsidRDefault="00787C76">
      <w:pPr>
        <w:pStyle w:val="footnote1"/>
      </w:pPr>
      <w:r>
        <w:rPr>
          <w:vertAlign w:val="superscript"/>
        </w:rPr>
        <w:footnoteRef/>
      </w:r>
      <w:r>
        <w:rPr>
          <w:vertAlign w:val="superscript"/>
        </w:rPr>
        <w:tab/>
      </w:r>
      <w:r>
        <w:rPr>
          <w:color w:val="000000"/>
        </w:rPr>
        <w:t>Both common and rare cancers, or cancer subtypes, at all stages of cancer, any age or part of society.</w:t>
      </w:r>
    </w:p>
  </w:footnote>
  <w:footnote w:id="27">
    <w:p w14:paraId="21272627" w14:textId="77777777" w:rsidR="00401FAE" w:rsidRDefault="00787C76">
      <w:pPr>
        <w:pStyle w:val="footnote1"/>
      </w:pPr>
      <w:r>
        <w:rPr>
          <w:vertAlign w:val="superscript"/>
        </w:rPr>
        <w:footnoteRef/>
      </w:r>
      <w:r>
        <w:rPr>
          <w:vertAlign w:val="superscript"/>
        </w:rPr>
        <w:tab/>
      </w:r>
      <w:r>
        <w:rPr>
          <w:color w:val="000000"/>
        </w:rPr>
        <w:t>https://ec.europa.eu/digital-single-market/en/european-1-million-genomes-initiative</w:t>
      </w:r>
    </w:p>
  </w:footnote>
  <w:footnote w:id="28">
    <w:p w14:paraId="75EF6794" w14:textId="77777777" w:rsidR="00401FAE" w:rsidRDefault="00787C76">
      <w:pPr>
        <w:pStyle w:val="footnote1"/>
      </w:pPr>
      <w:r>
        <w:rPr>
          <w:vertAlign w:val="superscript"/>
        </w:rPr>
        <w:footnoteRef/>
      </w:r>
      <w:r>
        <w:rPr>
          <w:vertAlign w:val="superscript"/>
        </w:rPr>
        <w:tab/>
      </w:r>
      <w:hyperlink r:id="rId9">
        <w:r>
          <w:rPr>
            <w:color w:val="0000FF"/>
            <w:szCs w:val="20"/>
            <w:u w:val="single"/>
          </w:rPr>
          <w:t>https://www.eortc.org/specta/</w:t>
        </w:r>
      </w:hyperlink>
    </w:p>
  </w:footnote>
  <w:footnote w:id="29">
    <w:p w14:paraId="7C65888E" w14:textId="77777777" w:rsidR="00401FAE" w:rsidRDefault="00787C76">
      <w:pPr>
        <w:pStyle w:val="footnote1"/>
      </w:pPr>
      <w:r>
        <w:rPr>
          <w:vertAlign w:val="superscript"/>
        </w:rPr>
        <w:footnoteRef/>
      </w:r>
      <w:r>
        <w:rPr>
          <w:vertAlign w:val="superscript"/>
        </w:rPr>
        <w:tab/>
      </w:r>
      <w:hyperlink r:id="rId10">
        <w:r>
          <w:rPr>
            <w:color w:val="0000FF"/>
            <w:szCs w:val="20"/>
            <w:u w:val="single"/>
          </w:rPr>
          <w:t>https://ec.europa.eu/info/research-and-innovation/strategy/goals-research-and-innovation-policy/open-science/eosc_en</w:t>
        </w:r>
      </w:hyperlink>
    </w:p>
  </w:footnote>
  <w:footnote w:id="30">
    <w:p w14:paraId="5E34B016" w14:textId="77777777" w:rsidR="00401FAE" w:rsidRDefault="00787C76">
      <w:pPr>
        <w:pStyle w:val="footnote1"/>
      </w:pPr>
      <w:r>
        <w:rPr>
          <w:vertAlign w:val="superscript"/>
        </w:rPr>
        <w:footnoteRef/>
      </w:r>
      <w:r>
        <w:rPr>
          <w:vertAlign w:val="superscript"/>
        </w:rPr>
        <w:tab/>
      </w:r>
      <w:hyperlink r:id="rId11">
        <w:r>
          <w:rPr>
            <w:color w:val="0000FF"/>
            <w:szCs w:val="20"/>
            <w:u w:val="single"/>
          </w:rPr>
          <w:t>https://ec.europa.eu/health/ehealth/dataspace_en</w:t>
        </w:r>
      </w:hyperlink>
    </w:p>
  </w:footnote>
  <w:footnote w:id="31">
    <w:p w14:paraId="2654299D"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5CD3BEA" w14:textId="77777777" w:rsidR="00401FAE" w:rsidRDefault="00787C76">
      <w:pPr>
        <w:pStyle w:val="footnote2"/>
      </w:pPr>
      <w:r>
        <w:rPr>
          <w:color w:val="000000"/>
        </w:rPr>
        <w:t>The Director-General responsible may delay the deadline(s) by up to two months.</w:t>
      </w:r>
    </w:p>
    <w:p w14:paraId="2D802540" w14:textId="77777777" w:rsidR="00401FAE" w:rsidRDefault="00787C76">
      <w:pPr>
        <w:pStyle w:val="footnote2"/>
      </w:pPr>
      <w:r>
        <w:rPr>
          <w:color w:val="000000"/>
        </w:rPr>
        <w:t>All deadlines are at 17.00.00 Brussels local time.</w:t>
      </w:r>
    </w:p>
    <w:p w14:paraId="2821C64B"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32">
    <w:p w14:paraId="32C0EE02"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3">
    <w:p w14:paraId="2E77967F" w14:textId="77777777" w:rsidR="00401FAE" w:rsidRDefault="00787C76">
      <w:pPr>
        <w:pStyle w:val="footnote1"/>
      </w:pPr>
      <w:r>
        <w:rPr>
          <w:vertAlign w:val="superscript"/>
        </w:rPr>
        <w:footnoteRef/>
      </w:r>
      <w:r>
        <w:rPr>
          <w:vertAlign w:val="superscript"/>
        </w:rPr>
        <w:tab/>
      </w:r>
      <w:r>
        <w:rPr>
          <w:color w:val="000000"/>
        </w:rPr>
        <w:t>Of which EUR 2.50 million from the 'Food, Bioeconomy, Natural Resources, Agriculture and Environment' budget and EUR 2.50 million from the 'Climate, Energy and Mobility' budget.</w:t>
      </w:r>
    </w:p>
  </w:footnote>
  <w:footnote w:id="34">
    <w:p w14:paraId="3CD562D3" w14:textId="77777777" w:rsidR="00401FAE" w:rsidRDefault="00787C76">
      <w:pPr>
        <w:pStyle w:val="footnote1"/>
      </w:pPr>
      <w:r>
        <w:rPr>
          <w:vertAlign w:val="superscript"/>
        </w:rPr>
        <w:footnoteRef/>
      </w:r>
      <w:r>
        <w:rPr>
          <w:vertAlign w:val="superscript"/>
        </w:rPr>
        <w:tab/>
      </w:r>
      <w:r>
        <w:rPr>
          <w:color w:val="000000"/>
        </w:rPr>
        <w:t>Ecosystem based management [defined in CBD (2000)] is a management and resource planning procedure that integrates the management of human activities and their institutions with the knowledge of the functioning of ecosystems” (“a resource planning and management approach that integrates the connections between land, air and water and all living things, including people, their activities and institutions” (cf., Farmer et al., 2012, for a review of the concept of ecosystem approach in marine management). EAM is the underlying principle for environmental management strategies as formulated in the EU Water Framework Directive (WFD), Marine Strategy Framework Directive (MSFD), Maritime Spatial Planning Directive (MSPD) and the Common Fisheries Policy (CFP).</w:t>
      </w:r>
    </w:p>
  </w:footnote>
  <w:footnote w:id="35">
    <w:p w14:paraId="613D0693" w14:textId="77777777" w:rsidR="00401FAE" w:rsidRDefault="00787C76">
      <w:pPr>
        <w:pStyle w:val="footnote1"/>
      </w:pPr>
      <w:r>
        <w:rPr>
          <w:vertAlign w:val="superscript"/>
        </w:rPr>
        <w:footnoteRef/>
      </w:r>
      <w:r>
        <w:rPr>
          <w:vertAlign w:val="superscript"/>
        </w:rPr>
        <w:tab/>
      </w:r>
      <w:r>
        <w:rPr>
          <w:color w:val="000000"/>
        </w:rPr>
        <w:t>It is noted that the Mission objectives should go beyond the Mission research and innovation core element that consists of a network of lighthouse demonstrators and stakeholder and citizen engagement. For a full achievement of the Mission objectives an effective and timely scale up of the solutions and innovations from ‘lighthouse demonstrators’ would be needed with the involvement of many industrial, business and civil society partners and with large scale mobilisation of resources and actors throughout the European Union.</w:t>
      </w:r>
    </w:p>
  </w:footnote>
  <w:footnote w:id="36">
    <w:p w14:paraId="7D323201" w14:textId="77777777" w:rsidR="00401FAE" w:rsidRDefault="00787C76">
      <w:pPr>
        <w:pStyle w:val="footnote1"/>
      </w:pPr>
      <w:r>
        <w:rPr>
          <w:vertAlign w:val="superscript"/>
        </w:rPr>
        <w:footnoteRef/>
      </w:r>
      <w:r>
        <w:rPr>
          <w:vertAlign w:val="superscript"/>
        </w:rPr>
        <w:tab/>
      </w:r>
      <w:r>
        <w:rPr>
          <w:color w:val="000000"/>
        </w:rPr>
        <w:t>Examples of relevant stakeholders include public administrations and utilities; private sector services and industries, including small and medium enterprises (SMEs), scientific and innovator communities; financial intermediaries; civil society and philanthropy.</w:t>
      </w:r>
    </w:p>
  </w:footnote>
  <w:footnote w:id="37">
    <w:p w14:paraId="09B55331" w14:textId="77777777" w:rsidR="00401FAE" w:rsidRDefault="00787C76">
      <w:pPr>
        <w:pStyle w:val="footnote1"/>
      </w:pPr>
      <w:r>
        <w:rPr>
          <w:vertAlign w:val="superscript"/>
        </w:rPr>
        <w:footnoteRef/>
      </w:r>
      <w:r>
        <w:rPr>
          <w:vertAlign w:val="superscript"/>
        </w:rPr>
        <w:tab/>
      </w:r>
      <w:r>
        <w:rPr>
          <w:color w:val="000000"/>
        </w:rPr>
        <w:t>‘Lighthouse demonstrators’ should be understood rather broadly as topical, area-based or other demonstrators that would have the capacity to substantially, effectively and timely contribute to the achievement of the Mission objectives in particular by discovering, identifying, testing, piloting, democratising and de-risking innovative solutions to the societal challenges that are within the scope of the Mission, with emphasis on systemic approach and ecosystem level solutions.</w:t>
      </w:r>
    </w:p>
  </w:footnote>
  <w:footnote w:id="38">
    <w:p w14:paraId="0C4537F9" w14:textId="77777777" w:rsidR="00401FAE" w:rsidRDefault="00787C76">
      <w:pPr>
        <w:pStyle w:val="footnote1"/>
      </w:pPr>
      <w:r>
        <w:rPr>
          <w:vertAlign w:val="superscript"/>
        </w:rPr>
        <w:footnoteRef/>
      </w:r>
      <w:r>
        <w:rPr>
          <w:vertAlign w:val="superscript"/>
        </w:rPr>
        <w:tab/>
      </w:r>
      <w:r>
        <w:rPr>
          <w:color w:val="000000"/>
        </w:rPr>
        <w:t>As described by the Horizon Europe Missions Work Programme 2021 call: HORIZON-MISS-DEPL-2021-01 - Coordination of complementary actions for missions (</w:t>
      </w:r>
      <w:r>
        <w:rPr>
          <w:b/>
          <w:color w:val="000000"/>
        </w:rPr>
        <w:t>HORIZON-MISS-DEPL-2021-01)</w:t>
      </w:r>
    </w:p>
  </w:footnote>
  <w:footnote w:id="39">
    <w:p w14:paraId="568115A3" w14:textId="77777777" w:rsidR="00401FAE" w:rsidRDefault="00787C76">
      <w:pPr>
        <w:pStyle w:val="footnote1"/>
      </w:pPr>
      <w:r>
        <w:rPr>
          <w:vertAlign w:val="superscript"/>
        </w:rPr>
        <w:footnoteRef/>
      </w:r>
      <w:r>
        <w:rPr>
          <w:vertAlign w:val="superscript"/>
        </w:rPr>
        <w:tab/>
      </w:r>
      <w:r>
        <w:rPr>
          <w:color w:val="000000"/>
        </w:rPr>
        <w:t>Such as, Copernicus marine and climate change services, EMODNET, ESFRI research infrastructures, ERICs, H2020 projects.</w:t>
      </w:r>
    </w:p>
  </w:footnote>
  <w:footnote w:id="40">
    <w:p w14:paraId="3127E150" w14:textId="77777777" w:rsidR="00401FAE" w:rsidRDefault="00787C76">
      <w:pPr>
        <w:pStyle w:val="footnote1"/>
      </w:pPr>
      <w:r>
        <w:rPr>
          <w:vertAlign w:val="superscript"/>
        </w:rPr>
        <w:footnoteRef/>
      </w:r>
      <w:r>
        <w:rPr>
          <w:vertAlign w:val="superscript"/>
        </w:rPr>
        <w:tab/>
      </w:r>
      <w:r>
        <w:rPr>
          <w:color w:val="000000"/>
        </w:rPr>
        <w:t>Such as, natural sciences, social sciences, landscape planning, commerce and industry, law and regulations and policy.</w:t>
      </w:r>
    </w:p>
  </w:footnote>
  <w:footnote w:id="41">
    <w:p w14:paraId="61FB7E65" w14:textId="77777777" w:rsidR="00401FAE" w:rsidRDefault="00787C76">
      <w:pPr>
        <w:pStyle w:val="footnote1"/>
      </w:pPr>
      <w:r>
        <w:rPr>
          <w:vertAlign w:val="superscript"/>
        </w:rPr>
        <w:footnoteRef/>
      </w:r>
      <w:r>
        <w:rPr>
          <w:vertAlign w:val="superscript"/>
        </w:rPr>
        <w:tab/>
      </w:r>
      <w:r>
        <w:rPr>
          <w:color w:val="000000"/>
        </w:rPr>
        <w:t>Such as, Destination Earth (</w:t>
      </w:r>
      <w:hyperlink r:id="rId12">
        <w:r>
          <w:rPr>
            <w:color w:val="0000FF"/>
            <w:szCs w:val="20"/>
            <w:u w:val="single"/>
          </w:rPr>
          <w:t>https://ec.europa.eu/digital-single-market/en/destination-earth-destine</w:t>
        </w:r>
      </w:hyperlink>
      <w:r>
        <w:rPr>
          <w:color w:val="000000"/>
        </w:rPr>
        <w:t>) (Digital Twins on extreme events, climate adaptation and ocean), EOSC and Green Dataspaces.</w:t>
      </w:r>
    </w:p>
  </w:footnote>
  <w:footnote w:id="42">
    <w:p w14:paraId="082CDBB6" w14:textId="77777777" w:rsidR="00401FAE" w:rsidRDefault="00787C76">
      <w:pPr>
        <w:pStyle w:val="footnote1"/>
      </w:pPr>
      <w:r>
        <w:rPr>
          <w:vertAlign w:val="superscript"/>
        </w:rPr>
        <w:footnoteRef/>
      </w:r>
      <w:r>
        <w:rPr>
          <w:vertAlign w:val="superscript"/>
        </w:rPr>
        <w:tab/>
      </w:r>
      <w:r>
        <w:rPr>
          <w:color w:val="000000"/>
        </w:rPr>
        <w:t>Citizen assemblies are typically supported by a team of impartial facilitators who guide participants through the process.</w:t>
      </w:r>
    </w:p>
  </w:footnote>
  <w:footnote w:id="43">
    <w:p w14:paraId="3BF581A0" w14:textId="77777777" w:rsidR="00401FAE" w:rsidRDefault="00787C76">
      <w:pPr>
        <w:pStyle w:val="footnote1"/>
      </w:pPr>
      <w:r>
        <w:rPr>
          <w:vertAlign w:val="superscript"/>
        </w:rPr>
        <w:footnoteRef/>
      </w:r>
      <w:r>
        <w:rPr>
          <w:vertAlign w:val="superscript"/>
        </w:rPr>
        <w:tab/>
      </w:r>
      <w:r>
        <w:rPr>
          <w:color w:val="000000"/>
        </w:rPr>
        <w:t>COM(2019) 640 final: The European Green Deal_https://eur-lex.europa.eu/legal-content/EN/TXT/HTML/?uri=CELEX:52019DC0640&amp;from=EN</w:t>
      </w:r>
    </w:p>
  </w:footnote>
  <w:footnote w:id="44">
    <w:p w14:paraId="547AACEB" w14:textId="77777777" w:rsidR="00401FAE" w:rsidRDefault="00787C76">
      <w:pPr>
        <w:pStyle w:val="footnote1"/>
      </w:pPr>
      <w:r>
        <w:rPr>
          <w:vertAlign w:val="superscript"/>
        </w:rPr>
        <w:footnoteRef/>
      </w:r>
      <w:r>
        <w:rPr>
          <w:vertAlign w:val="superscript"/>
        </w:rPr>
        <w:tab/>
      </w:r>
      <w:r>
        <w:rPr>
          <w:color w:val="000000"/>
        </w:rPr>
        <w:t>A/RES/70/1: Transforming our world: the 2030 Agenda for Sustainable Development_ https://www.un.org/ga/search/view_doc.asp?symbol=A/RES/70/1&amp;Lang=E</w:t>
      </w:r>
    </w:p>
  </w:footnote>
  <w:footnote w:id="45">
    <w:p w14:paraId="01488C64"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73E83B6" w14:textId="77777777" w:rsidR="00401FAE" w:rsidRDefault="00787C76">
      <w:pPr>
        <w:pStyle w:val="footnote2"/>
      </w:pPr>
      <w:r>
        <w:rPr>
          <w:color w:val="000000"/>
        </w:rPr>
        <w:t>The Director-General responsible may delay the deadline(s) by up to two months.</w:t>
      </w:r>
    </w:p>
    <w:p w14:paraId="144FBD7B" w14:textId="77777777" w:rsidR="00401FAE" w:rsidRDefault="00787C76">
      <w:pPr>
        <w:pStyle w:val="footnote2"/>
      </w:pPr>
      <w:r>
        <w:rPr>
          <w:color w:val="000000"/>
        </w:rPr>
        <w:t>All deadlines are at 17.00.00 Brussels local time.</w:t>
      </w:r>
    </w:p>
    <w:p w14:paraId="5224C6E3"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46">
    <w:p w14:paraId="67EEDCF0"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7">
    <w:p w14:paraId="519EC14C" w14:textId="77777777" w:rsidR="00401FAE" w:rsidRDefault="00787C76">
      <w:pPr>
        <w:pStyle w:val="footnote1"/>
      </w:pPr>
      <w:r>
        <w:rPr>
          <w:vertAlign w:val="superscript"/>
        </w:rPr>
        <w:footnoteRef/>
      </w:r>
      <w:r>
        <w:rPr>
          <w:vertAlign w:val="superscript"/>
        </w:rPr>
        <w:tab/>
      </w:r>
      <w:r>
        <w:rPr>
          <w:color w:val="000000"/>
        </w:rPr>
        <w:t>Of which EUR 2.00 million from the 'Climate, Energy and Mobility' budget.</w:t>
      </w:r>
    </w:p>
  </w:footnote>
  <w:footnote w:id="48">
    <w:p w14:paraId="526A5FD8" w14:textId="77777777" w:rsidR="00401FAE" w:rsidRDefault="00787C76">
      <w:pPr>
        <w:pStyle w:val="footnote1"/>
      </w:pPr>
      <w:r>
        <w:rPr>
          <w:vertAlign w:val="superscript"/>
        </w:rPr>
        <w:footnoteRef/>
      </w:r>
      <w:r>
        <w:rPr>
          <w:vertAlign w:val="superscript"/>
        </w:rPr>
        <w:tab/>
      </w:r>
      <w:r>
        <w:rPr>
          <w:color w:val="000000"/>
        </w:rPr>
        <w:t>Of which EUR 2.00 million from the 'Climate, Energy and Mobility' budget.</w:t>
      </w:r>
    </w:p>
  </w:footnote>
  <w:footnote w:id="49">
    <w:p w14:paraId="55EBB623" w14:textId="77777777" w:rsidR="00401FAE" w:rsidRDefault="00787C76">
      <w:pPr>
        <w:pStyle w:val="footnote1"/>
      </w:pPr>
      <w:r>
        <w:rPr>
          <w:vertAlign w:val="superscript"/>
        </w:rPr>
        <w:footnoteRef/>
      </w:r>
      <w:r>
        <w:rPr>
          <w:vertAlign w:val="superscript"/>
        </w:rPr>
        <w:tab/>
      </w:r>
      <w:r>
        <w:rPr>
          <w:color w:val="000000"/>
        </w:rPr>
        <w:t>COM(2019) 640 final: The European Green Deal_</w:t>
      </w:r>
      <w:hyperlink r:id="rId13">
        <w:r>
          <w:rPr>
            <w:color w:val="0000FF"/>
            <w:szCs w:val="20"/>
            <w:u w:val="single"/>
          </w:rPr>
          <w:t>https://eur-lex.europa.eu/legal-content/EN/TXT/HTML//?uri=CELEX:52019DC0640&amp;from=EN</w:t>
        </w:r>
      </w:hyperlink>
    </w:p>
  </w:footnote>
  <w:footnote w:id="50">
    <w:p w14:paraId="4EB7404B" w14:textId="77777777" w:rsidR="00401FAE" w:rsidRDefault="00787C76">
      <w:pPr>
        <w:pStyle w:val="footnote1"/>
      </w:pPr>
      <w:r>
        <w:rPr>
          <w:vertAlign w:val="superscript"/>
        </w:rPr>
        <w:footnoteRef/>
      </w:r>
      <w:r>
        <w:rPr>
          <w:vertAlign w:val="superscript"/>
        </w:rPr>
        <w:tab/>
      </w:r>
      <w:r>
        <w:rPr>
          <w:color w:val="000000"/>
        </w:rPr>
        <w:t xml:space="preserve">COM(2020) 789 final: Sustainable and Smart Mobility Strategy – putting European transport on track for the future_ </w:t>
      </w:r>
      <w:hyperlink r:id="rId14">
        <w:r>
          <w:rPr>
            <w:color w:val="0000FF"/>
            <w:szCs w:val="20"/>
            <w:u w:val="single"/>
          </w:rPr>
          <w:t>https://eur-lex.europa.eu/legal-content/EN/TXT/HTML/?uri=CELEX:52020DC0789&amp;from=EN</w:t>
        </w:r>
      </w:hyperlink>
    </w:p>
  </w:footnote>
  <w:footnote w:id="51">
    <w:p w14:paraId="672A6671" w14:textId="77777777" w:rsidR="00401FAE" w:rsidRDefault="00787C76">
      <w:pPr>
        <w:pStyle w:val="footnote1"/>
      </w:pPr>
      <w:r>
        <w:rPr>
          <w:vertAlign w:val="superscript"/>
        </w:rPr>
        <w:footnoteRef/>
      </w:r>
      <w:r>
        <w:rPr>
          <w:vertAlign w:val="superscript"/>
        </w:rPr>
        <w:tab/>
      </w:r>
      <w:hyperlink r:id="rId15">
        <w:r>
          <w:rPr>
            <w:color w:val="0000FF"/>
            <w:szCs w:val="20"/>
            <w:u w:val="single"/>
          </w:rPr>
          <w:t>https://ec.europa.eu/info/law/better-regulation/have-your-say/initiatives/12381-EU-Strategy-on</w:t>
        </w:r>
      </w:hyperlink>
    </w:p>
  </w:footnote>
  <w:footnote w:id="52">
    <w:p w14:paraId="60A8FE27" w14:textId="77777777" w:rsidR="00401FAE" w:rsidRDefault="00787C76">
      <w:pPr>
        <w:pStyle w:val="footnote1"/>
      </w:pPr>
      <w:r>
        <w:rPr>
          <w:vertAlign w:val="superscript"/>
        </w:rPr>
        <w:footnoteRef/>
      </w:r>
      <w:r>
        <w:rPr>
          <w:vertAlign w:val="superscript"/>
        </w:rPr>
        <w:tab/>
      </w:r>
      <w:r>
        <w:rPr>
          <w:color w:val="000000"/>
        </w:rPr>
        <w:t xml:space="preserve">COM(2020) 662 final: A Renovation Wave for Europe - greening our buildings, creating jobs, improving lives_ </w:t>
      </w:r>
      <w:hyperlink r:id="rId16">
        <w:r>
          <w:rPr>
            <w:color w:val="0000FF"/>
            <w:szCs w:val="20"/>
            <w:u w:val="single"/>
          </w:rPr>
          <w:t>https://ec.europa.eu/energy/sites/ener/files/eu_renovation_wave_strategy.pdf</w:t>
        </w:r>
      </w:hyperlink>
    </w:p>
  </w:footnote>
  <w:footnote w:id="53">
    <w:p w14:paraId="4E2AF6BC" w14:textId="77777777" w:rsidR="00401FAE" w:rsidRPr="00787C76" w:rsidRDefault="00787C76">
      <w:pPr>
        <w:pStyle w:val="footnote1"/>
        <w:rPr>
          <w:lang w:val="es-ES"/>
        </w:rPr>
      </w:pPr>
      <w:r>
        <w:rPr>
          <w:vertAlign w:val="superscript"/>
        </w:rPr>
        <w:footnoteRef/>
      </w:r>
      <w:r w:rsidRPr="00787C76">
        <w:rPr>
          <w:vertAlign w:val="superscript"/>
          <w:lang w:val="es-ES"/>
        </w:rPr>
        <w:tab/>
      </w:r>
      <w:r w:rsidRPr="00787C76">
        <w:rPr>
          <w:color w:val="000000"/>
          <w:lang w:val="es-ES"/>
        </w:rPr>
        <w:t>COM(2020) 788 final:European Climate Pact_</w:t>
      </w:r>
      <w:hyperlink r:id="rId17">
        <w:r w:rsidRPr="00787C76">
          <w:rPr>
            <w:color w:val="0000FF"/>
            <w:szCs w:val="20"/>
            <w:u w:val="single"/>
            <w:lang w:val="es-ES"/>
          </w:rPr>
          <w:t>https://europa.eu/climate-pact/system/files/2020-12/20201209%20European%20Climate%20Pact%20Communication.pdf</w:t>
        </w:r>
      </w:hyperlink>
    </w:p>
  </w:footnote>
  <w:footnote w:id="54">
    <w:p w14:paraId="61485898" w14:textId="77777777" w:rsidR="00401FAE" w:rsidRDefault="00787C76">
      <w:pPr>
        <w:pStyle w:val="footnote1"/>
      </w:pPr>
      <w:r>
        <w:rPr>
          <w:vertAlign w:val="superscript"/>
        </w:rPr>
        <w:footnoteRef/>
      </w:r>
      <w:r>
        <w:rPr>
          <w:vertAlign w:val="superscript"/>
        </w:rPr>
        <w:tab/>
      </w:r>
      <w:r>
        <w:rPr>
          <w:color w:val="000000"/>
        </w:rPr>
        <w:t>COM(2020) 562 final: Stepping up Europe’s 2030 climate ambition_</w:t>
      </w:r>
      <w:hyperlink r:id="rId18">
        <w:r>
          <w:rPr>
            <w:color w:val="0000FF"/>
            <w:szCs w:val="20"/>
            <w:u w:val="single"/>
          </w:rPr>
          <w:t>https://eur-lex.europa.eu/legal-content/EN/TXT/PDF/?uri=CELEX:52020DC0562&amp;from=EN</w:t>
        </w:r>
      </w:hyperlink>
    </w:p>
  </w:footnote>
  <w:footnote w:id="55">
    <w:p w14:paraId="2F7BB84E" w14:textId="77777777" w:rsidR="00401FAE" w:rsidRDefault="00787C76">
      <w:pPr>
        <w:pStyle w:val="footnote1"/>
      </w:pPr>
      <w:r>
        <w:rPr>
          <w:vertAlign w:val="superscript"/>
        </w:rPr>
        <w:footnoteRef/>
      </w:r>
      <w:r>
        <w:rPr>
          <w:vertAlign w:val="superscript"/>
        </w:rPr>
        <w:tab/>
      </w:r>
      <w:hyperlink r:id="rId19">
        <w:r>
          <w:rPr>
            <w:color w:val="0000FF"/>
            <w:szCs w:val="20"/>
            <w:u w:val="single"/>
          </w:rPr>
          <w:t>https://ec.europa.eu/futurium/en/urban-agenda</w:t>
        </w:r>
      </w:hyperlink>
    </w:p>
  </w:footnote>
  <w:footnote w:id="56">
    <w:p w14:paraId="385A5031" w14:textId="77777777" w:rsidR="00401FAE" w:rsidRDefault="00787C76">
      <w:pPr>
        <w:pStyle w:val="footnote1"/>
      </w:pPr>
      <w:r>
        <w:rPr>
          <w:vertAlign w:val="superscript"/>
        </w:rPr>
        <w:footnoteRef/>
      </w:r>
      <w:r>
        <w:rPr>
          <w:vertAlign w:val="superscript"/>
        </w:rPr>
        <w:tab/>
      </w:r>
      <w:r>
        <w:rPr>
          <w:color w:val="000000"/>
        </w:rPr>
        <w:t>https://ec.europa.eu/info/eu-regional-and-urban-development/topics/cities-and-urban-development/urban-agenda-eu_en#:~:text=The%20urban%20agenda%20for%20the%20EU%20addresses%20problems%20facing%20cities,pass%20better%20laws</w:t>
      </w:r>
    </w:p>
  </w:footnote>
  <w:footnote w:id="57">
    <w:p w14:paraId="7BC3490E" w14:textId="77777777" w:rsidR="00401FAE" w:rsidRDefault="00787C76">
      <w:pPr>
        <w:pStyle w:val="footnote1"/>
      </w:pPr>
      <w:r>
        <w:rPr>
          <w:vertAlign w:val="superscript"/>
        </w:rPr>
        <w:footnoteRef/>
      </w:r>
      <w:r>
        <w:rPr>
          <w:vertAlign w:val="superscript"/>
        </w:rPr>
        <w:tab/>
      </w:r>
      <w:hyperlink r:id="rId20">
        <w:r>
          <w:rPr>
            <w:color w:val="0000FF"/>
            <w:szCs w:val="20"/>
            <w:u w:val="single"/>
          </w:rPr>
          <w:t>https://ec.europa.eu/regional_policy/sources/docgener/brochure/explanatory_memo_eui_post_2020_en.pdf</w:t>
        </w:r>
      </w:hyperlink>
    </w:p>
  </w:footnote>
  <w:footnote w:id="58">
    <w:p w14:paraId="0DD69573" w14:textId="77777777" w:rsidR="00401FAE" w:rsidRDefault="00787C76">
      <w:pPr>
        <w:pStyle w:val="footnote1"/>
      </w:pPr>
      <w:r>
        <w:rPr>
          <w:vertAlign w:val="superscript"/>
        </w:rPr>
        <w:footnoteRef/>
      </w:r>
      <w:r>
        <w:rPr>
          <w:vertAlign w:val="superscript"/>
        </w:rPr>
        <w:tab/>
      </w:r>
      <w:r>
        <w:rPr>
          <w:color w:val="000000"/>
        </w:rPr>
        <w:t xml:space="preserve">A/RES/70/1: Transforming our world: the 2030 Agenda for Sustainable Development_ </w:t>
      </w:r>
      <w:hyperlink r:id="rId21">
        <w:r>
          <w:rPr>
            <w:color w:val="0000FF"/>
            <w:szCs w:val="20"/>
            <w:u w:val="single"/>
          </w:rPr>
          <w:t>https://www.un.org/ga/search/view_doc.asp?symbol=A/RES/70/1&amp;Lang=E</w:t>
        </w:r>
      </w:hyperlink>
    </w:p>
  </w:footnote>
  <w:footnote w:id="59">
    <w:p w14:paraId="7C301DE3" w14:textId="77777777" w:rsidR="00401FAE" w:rsidRDefault="00787C76">
      <w:pPr>
        <w:pStyle w:val="footnote1"/>
      </w:pPr>
      <w:r>
        <w:rPr>
          <w:vertAlign w:val="superscript"/>
        </w:rPr>
        <w:footnoteRef/>
      </w:r>
      <w:r>
        <w:rPr>
          <w:vertAlign w:val="superscript"/>
        </w:rPr>
        <w:tab/>
      </w:r>
      <w:r>
        <w:rPr>
          <w:color w:val="000000"/>
        </w:rPr>
        <w:t>As described by the Horizon Europe Missions Work Programme 2021 call: HORIZON-MISS-DEPL-2021-01 - Coordination of complementary actions for missions</w:t>
      </w:r>
    </w:p>
  </w:footnote>
  <w:footnote w:id="60">
    <w:p w14:paraId="5CF787BF" w14:textId="77777777" w:rsidR="00401FAE" w:rsidRDefault="00787C76">
      <w:pPr>
        <w:pStyle w:val="footnote1"/>
      </w:pPr>
      <w:r>
        <w:rPr>
          <w:vertAlign w:val="superscript"/>
        </w:rPr>
        <w:footnoteRef/>
      </w:r>
      <w:r>
        <w:rPr>
          <w:vertAlign w:val="superscript"/>
        </w:rPr>
        <w:tab/>
      </w:r>
      <w:hyperlink r:id="rId22">
        <w:r>
          <w:rPr>
            <w:color w:val="0000FF"/>
            <w:szCs w:val="20"/>
            <w:u w:val="single"/>
          </w:rPr>
          <w:t>https://ec.europa.eu/info/funding-tenders/opportunities/portal/screen/opportunities/topic-details/lc-gd-1-2-2020</w:t>
        </w:r>
      </w:hyperlink>
    </w:p>
  </w:footnote>
  <w:footnote w:id="61">
    <w:p w14:paraId="1F1F9503" w14:textId="77777777" w:rsidR="00401FAE" w:rsidRDefault="00787C76">
      <w:pPr>
        <w:pStyle w:val="footnote1"/>
      </w:pPr>
      <w:r>
        <w:rPr>
          <w:vertAlign w:val="superscript"/>
        </w:rPr>
        <w:footnoteRef/>
      </w:r>
      <w:r>
        <w:rPr>
          <w:vertAlign w:val="superscript"/>
        </w:rPr>
        <w:tab/>
      </w:r>
      <w:hyperlink r:id="rId23">
        <w:r>
          <w:rPr>
            <w:color w:val="0000FF"/>
            <w:szCs w:val="20"/>
            <w:u w:val="single"/>
          </w:rPr>
          <w:t>https://ec.europa.eu/info/energy-climate-change-environment/implementation-eu-countries/energy-and-climate-governance-and-reporting/national-energy-and-climate-plans_en</w:t>
        </w:r>
      </w:hyperlink>
    </w:p>
  </w:footnote>
  <w:footnote w:id="62">
    <w:p w14:paraId="19A459C7" w14:textId="77777777" w:rsidR="00401FAE" w:rsidRDefault="00787C76">
      <w:pPr>
        <w:pStyle w:val="footnote1"/>
      </w:pPr>
      <w:r>
        <w:rPr>
          <w:vertAlign w:val="superscript"/>
        </w:rPr>
        <w:footnoteRef/>
      </w:r>
      <w:r>
        <w:rPr>
          <w:vertAlign w:val="superscript"/>
        </w:rPr>
        <w:tab/>
      </w:r>
      <w:r>
        <w:rPr>
          <w:color w:val="000000"/>
        </w:rPr>
        <w:t>The Community of Practice-CITIES (CoP-CITIES) is an initiative of the European Commission (co-led by the JRC and DG REGIO). It is open to external stakeholders such as cities and networks of cities, international and intergovernmental organisations and research bodies. https://ec.europa.eu/jrc/communities/en/community/cop-cities</w:t>
      </w:r>
    </w:p>
  </w:footnote>
  <w:footnote w:id="63">
    <w:p w14:paraId="5114D7EC" w14:textId="77777777" w:rsidR="00401FAE" w:rsidRDefault="00787C76">
      <w:pPr>
        <w:pStyle w:val="footnote1"/>
      </w:pPr>
      <w:r>
        <w:rPr>
          <w:vertAlign w:val="superscript"/>
        </w:rPr>
        <w:footnoteRef/>
      </w:r>
      <w:r>
        <w:rPr>
          <w:vertAlign w:val="superscript"/>
        </w:rPr>
        <w:tab/>
      </w:r>
      <w:r>
        <w:rPr>
          <w:color w:val="000000"/>
        </w:rPr>
        <w:t xml:space="preserve">The initiative aims to develop and implement and Urban Science Academy to better connect universities-cities and businesses. It is currently framed in the context of the Community of Practice on Cities. </w:t>
      </w:r>
      <w:hyperlink r:id="rId24">
        <w:r>
          <w:rPr>
            <w:color w:val="0000FF"/>
            <w:szCs w:val="20"/>
            <w:u w:val="single"/>
          </w:rPr>
          <w:t>https://ec.europa.eu/jrc/communities/en/community/city-science-initiative</w:t>
        </w:r>
      </w:hyperlink>
    </w:p>
  </w:footnote>
  <w:footnote w:id="64">
    <w:p w14:paraId="27AC4E28" w14:textId="77777777" w:rsidR="00401FAE" w:rsidRDefault="00787C76">
      <w:pPr>
        <w:pStyle w:val="footnote1"/>
      </w:pPr>
      <w:r>
        <w:rPr>
          <w:vertAlign w:val="superscript"/>
        </w:rPr>
        <w:footnoteRef/>
      </w:r>
      <w:r>
        <w:rPr>
          <w:vertAlign w:val="superscript"/>
        </w:rPr>
        <w:tab/>
      </w:r>
      <w:hyperlink r:id="rId25">
        <w:r>
          <w:rPr>
            <w:color w:val="0000FF"/>
            <w:szCs w:val="20"/>
            <w:u w:val="single"/>
          </w:rPr>
          <w:t>https://europa.eu/new-european-bauhaus/index_en</w:t>
        </w:r>
      </w:hyperlink>
    </w:p>
  </w:footnote>
  <w:footnote w:id="65">
    <w:p w14:paraId="183F0AB5" w14:textId="77777777" w:rsidR="00401FAE" w:rsidRDefault="00787C76">
      <w:pPr>
        <w:pStyle w:val="footnote1"/>
      </w:pPr>
      <w:r>
        <w:rPr>
          <w:vertAlign w:val="superscript"/>
        </w:rPr>
        <w:footnoteRef/>
      </w:r>
      <w:r>
        <w:rPr>
          <w:vertAlign w:val="superscript"/>
        </w:rPr>
        <w:tab/>
      </w:r>
      <w:hyperlink r:id="rId26">
        <w:r>
          <w:rPr>
            <w:color w:val="0000FF"/>
            <w:szCs w:val="20"/>
            <w:u w:val="single"/>
          </w:rPr>
          <w:t>https://ec.europa.eu/energy/sites/ener/files/eu_renovation_wave_strategy.pdf</w:t>
        </w:r>
      </w:hyperlink>
    </w:p>
  </w:footnote>
  <w:footnote w:id="66">
    <w:p w14:paraId="458A81BE" w14:textId="77777777" w:rsidR="00401FAE" w:rsidRDefault="00787C76">
      <w:pPr>
        <w:pStyle w:val="footnote1"/>
      </w:pPr>
      <w:r>
        <w:rPr>
          <w:vertAlign w:val="superscript"/>
        </w:rPr>
        <w:footnoteRef/>
      </w:r>
      <w:r>
        <w:rPr>
          <w:vertAlign w:val="superscript"/>
        </w:rPr>
        <w:tab/>
      </w:r>
      <w:hyperlink r:id="rId27">
        <w:r>
          <w:rPr>
            <w:color w:val="0000FF"/>
            <w:szCs w:val="20"/>
            <w:u w:val="single"/>
          </w:rPr>
          <w:t>https://ec.europa.eu/info/law/better-regulation/have-your-say/initiatives/12381-EU-Strategy-on-</w:t>
        </w:r>
      </w:hyperlink>
    </w:p>
  </w:footnote>
  <w:footnote w:id="67">
    <w:p w14:paraId="6DA03481" w14:textId="77777777" w:rsidR="00401FAE" w:rsidRDefault="00787C76">
      <w:pPr>
        <w:pStyle w:val="footnote1"/>
      </w:pPr>
      <w:r>
        <w:rPr>
          <w:vertAlign w:val="superscript"/>
        </w:rPr>
        <w:footnoteRef/>
      </w:r>
      <w:r>
        <w:rPr>
          <w:vertAlign w:val="superscript"/>
        </w:rPr>
        <w:tab/>
      </w:r>
      <w:r>
        <w:rPr>
          <w:color w:val="000000"/>
        </w:rPr>
        <w:t xml:space="preserve">COM(2020) 788 final: European Climate Pact_ </w:t>
      </w:r>
      <w:hyperlink r:id="rId28">
        <w:r>
          <w:rPr>
            <w:color w:val="0000FF"/>
            <w:szCs w:val="20"/>
            <w:u w:val="single"/>
          </w:rPr>
          <w:t>https://europa.eu/climate-pact/system/files/2020-12/20201209%20European%20Climate%20Pact%20Communication.pdf</w:t>
        </w:r>
      </w:hyperlink>
    </w:p>
  </w:footnote>
  <w:footnote w:id="68">
    <w:p w14:paraId="360B3AF1" w14:textId="77777777" w:rsidR="00401FAE" w:rsidRDefault="00787C76">
      <w:pPr>
        <w:pStyle w:val="footnote1"/>
      </w:pPr>
      <w:r>
        <w:rPr>
          <w:vertAlign w:val="superscript"/>
        </w:rPr>
        <w:footnoteRef/>
      </w:r>
      <w:r>
        <w:rPr>
          <w:vertAlign w:val="superscript"/>
        </w:rPr>
        <w:tab/>
      </w:r>
      <w:r>
        <w:rPr>
          <w:color w:val="000000"/>
        </w:rPr>
        <w:t>COM(2020) 562 final: Stepping up Europe’s 2030 climate ambition_</w:t>
      </w:r>
      <w:hyperlink r:id="rId29">
        <w:r>
          <w:rPr>
            <w:color w:val="0000FF"/>
            <w:szCs w:val="20"/>
            <w:u w:val="single"/>
          </w:rPr>
          <w:t>https://eur-lex.europa.eu/legal-content/EN/TXT/PDF/?uri=CELEX:52020DC0562&amp;from=EN</w:t>
        </w:r>
      </w:hyperlink>
    </w:p>
  </w:footnote>
  <w:footnote w:id="69">
    <w:p w14:paraId="67E0EF9D" w14:textId="77777777" w:rsidR="00401FAE" w:rsidRDefault="00787C76">
      <w:pPr>
        <w:pStyle w:val="footnote1"/>
      </w:pPr>
      <w:r>
        <w:rPr>
          <w:vertAlign w:val="superscript"/>
        </w:rPr>
        <w:footnoteRef/>
      </w:r>
      <w:r>
        <w:rPr>
          <w:vertAlign w:val="superscript"/>
        </w:rPr>
        <w:tab/>
      </w:r>
      <w:hyperlink r:id="rId30">
        <w:r>
          <w:rPr>
            <w:color w:val="0000FF"/>
            <w:szCs w:val="20"/>
            <w:u w:val="single"/>
          </w:rPr>
          <w:t>https://davosdeclaration2018.ch/media/Context-document-en.pdf</w:t>
        </w:r>
      </w:hyperlink>
    </w:p>
  </w:footnote>
  <w:footnote w:id="70">
    <w:p w14:paraId="3B553F7D" w14:textId="77777777" w:rsidR="00401FAE" w:rsidRDefault="00787C76">
      <w:pPr>
        <w:pStyle w:val="footnote1"/>
      </w:pPr>
      <w:r>
        <w:rPr>
          <w:vertAlign w:val="superscript"/>
        </w:rPr>
        <w:footnoteRef/>
      </w:r>
      <w:r>
        <w:rPr>
          <w:vertAlign w:val="superscript"/>
        </w:rPr>
        <w:tab/>
      </w:r>
      <w:r>
        <w:rPr>
          <w:color w:val="000000"/>
        </w:rPr>
        <w:t xml:space="preserve">COM(2020) 789 final: Sustainable and Smart Mobility Strategy – putting European transport on track for the future_ </w:t>
      </w:r>
      <w:hyperlink r:id="rId31">
        <w:r>
          <w:rPr>
            <w:color w:val="0000FF"/>
            <w:szCs w:val="20"/>
            <w:u w:val="single"/>
          </w:rPr>
          <w:t>https://eur-lex.europa.eu/legal-content/EN/TXT/HTML/?uri=CELEX:52020DC0789&amp;from=EN</w:t>
        </w:r>
      </w:hyperlink>
    </w:p>
  </w:footnote>
  <w:footnote w:id="71">
    <w:p w14:paraId="50717600" w14:textId="77777777" w:rsidR="00401FAE" w:rsidRDefault="00787C76">
      <w:pPr>
        <w:pStyle w:val="footnote1"/>
      </w:pPr>
      <w:r>
        <w:rPr>
          <w:vertAlign w:val="superscript"/>
        </w:rPr>
        <w:footnoteRef/>
      </w:r>
      <w:r>
        <w:rPr>
          <w:vertAlign w:val="superscript"/>
        </w:rPr>
        <w:tab/>
      </w:r>
      <w:hyperlink r:id="rId32">
        <w:r>
          <w:rPr>
            <w:color w:val="0000FF"/>
            <w:szCs w:val="20"/>
            <w:u w:val="single"/>
          </w:rPr>
          <w:t>https://ec.europa.eu/commission/presscorner/detail/en/FS_20_1894</w:t>
        </w:r>
      </w:hyperlink>
    </w:p>
  </w:footnote>
  <w:footnote w:id="72">
    <w:p w14:paraId="2BC8C4CE" w14:textId="77777777" w:rsidR="00401FAE" w:rsidRDefault="00787C76">
      <w:pPr>
        <w:pStyle w:val="footnote1"/>
      </w:pPr>
      <w:r>
        <w:rPr>
          <w:vertAlign w:val="superscript"/>
        </w:rPr>
        <w:footnoteRef/>
      </w:r>
      <w:r>
        <w:rPr>
          <w:vertAlign w:val="superscript"/>
        </w:rPr>
        <w:tab/>
      </w:r>
      <w:hyperlink r:id="rId33">
        <w:r>
          <w:rPr>
            <w:color w:val="0000FF"/>
            <w:szCs w:val="20"/>
            <w:u w:val="single"/>
          </w:rPr>
          <w:t>https://ec.europa.eu/info/funding-tenders/opportunities/portal/screen/opportunities/topic-details/lc-gd-1-2-2020</w:t>
        </w:r>
      </w:hyperlink>
    </w:p>
  </w:footnote>
  <w:footnote w:id="73">
    <w:p w14:paraId="5032CE67" w14:textId="77777777" w:rsidR="00401FAE" w:rsidRDefault="00787C76">
      <w:pPr>
        <w:pStyle w:val="footnote1"/>
      </w:pPr>
      <w:r>
        <w:rPr>
          <w:vertAlign w:val="superscript"/>
        </w:rPr>
        <w:footnoteRef/>
      </w:r>
      <w:r>
        <w:rPr>
          <w:vertAlign w:val="superscript"/>
        </w:rPr>
        <w:tab/>
      </w:r>
      <w:hyperlink r:id="rId34">
        <w:r>
          <w:rPr>
            <w:color w:val="0000FF"/>
            <w:szCs w:val="20"/>
            <w:u w:val="single"/>
          </w:rPr>
          <w:t>https://ted.europa.eu/</w:t>
        </w:r>
      </w:hyperlink>
    </w:p>
  </w:footnote>
  <w:footnote w:id="74">
    <w:p w14:paraId="48252EC4" w14:textId="77777777" w:rsidR="00401FAE" w:rsidRDefault="00787C76">
      <w:pPr>
        <w:pStyle w:val="footnote1"/>
      </w:pPr>
      <w:r>
        <w:rPr>
          <w:vertAlign w:val="superscript"/>
        </w:rPr>
        <w:footnoteRef/>
      </w:r>
      <w:r>
        <w:rPr>
          <w:vertAlign w:val="superscript"/>
        </w:rPr>
        <w:tab/>
      </w:r>
      <w:r>
        <w:rPr>
          <w:color w:val="000000"/>
        </w:rPr>
        <w:t>See Mission Board's proposal for mission Caring for Soil is Caring for Life: https://ec.europa.eu/info/publications/caring-soil-caring-life_en</w:t>
      </w:r>
    </w:p>
  </w:footnote>
  <w:footnote w:id="75">
    <w:p w14:paraId="557FFDE1" w14:textId="77777777" w:rsidR="00401FAE" w:rsidRDefault="00787C76">
      <w:pPr>
        <w:pStyle w:val="footnote1"/>
      </w:pPr>
      <w:r>
        <w:rPr>
          <w:vertAlign w:val="superscript"/>
        </w:rPr>
        <w:footnoteRef/>
      </w:r>
      <w:r>
        <w:rPr>
          <w:vertAlign w:val="superscript"/>
        </w:rPr>
        <w:tab/>
      </w:r>
      <w:r>
        <w:rPr>
          <w:color w:val="000000"/>
        </w:rPr>
        <w:t>While the mission report only mentions Member States, it is understood that the goal applies to all countries participating in the mission including Associated Countries. The wording in the mission report will be revised to adequately reflect the involvement of Associated Countries in the mission.</w:t>
      </w:r>
    </w:p>
  </w:footnote>
  <w:footnote w:id="76">
    <w:p w14:paraId="2A3B7110" w14:textId="77777777" w:rsidR="00401FAE" w:rsidRDefault="00787C76">
      <w:pPr>
        <w:pStyle w:val="footnote1"/>
      </w:pPr>
      <w:r>
        <w:rPr>
          <w:vertAlign w:val="superscript"/>
        </w:rPr>
        <w:footnoteRef/>
      </w:r>
      <w:r>
        <w:rPr>
          <w:vertAlign w:val="superscript"/>
        </w:rPr>
        <w:tab/>
      </w:r>
      <w:r>
        <w:rPr>
          <w:color w:val="000000"/>
        </w:rPr>
        <w:t>The term "land manager" includes farmers, foresters, urban and spatial planners and other decision-makers in the public or private domain with regard to land use in urban and rural areas.</w:t>
      </w:r>
    </w:p>
  </w:footnote>
  <w:footnote w:id="77">
    <w:p w14:paraId="456D41DD"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B8486F7" w14:textId="77777777" w:rsidR="00401FAE" w:rsidRDefault="00787C76">
      <w:pPr>
        <w:pStyle w:val="footnote2"/>
      </w:pPr>
      <w:r>
        <w:rPr>
          <w:color w:val="000000"/>
        </w:rPr>
        <w:t>The Director-General responsible may delay the deadline(s) by up to two months.</w:t>
      </w:r>
    </w:p>
    <w:p w14:paraId="763A76BD" w14:textId="77777777" w:rsidR="00401FAE" w:rsidRDefault="00787C76">
      <w:pPr>
        <w:pStyle w:val="footnote2"/>
      </w:pPr>
      <w:r>
        <w:rPr>
          <w:color w:val="000000"/>
        </w:rPr>
        <w:t>All deadlines are at 17.00.00 Brussels local time.</w:t>
      </w:r>
    </w:p>
    <w:p w14:paraId="3BEA15AA"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78">
    <w:p w14:paraId="1E4DEEE8"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9">
    <w:p w14:paraId="2ED2ED16" w14:textId="77777777" w:rsidR="00401FAE" w:rsidRDefault="00787C76">
      <w:pPr>
        <w:pStyle w:val="footnote1"/>
      </w:pPr>
      <w:r>
        <w:rPr>
          <w:vertAlign w:val="superscript"/>
        </w:rPr>
        <w:footnoteRef/>
      </w:r>
      <w:r>
        <w:rPr>
          <w:vertAlign w:val="superscript"/>
        </w:rPr>
        <w:tab/>
      </w:r>
      <w:r>
        <w:rPr>
          <w:color w:val="000000"/>
        </w:rPr>
        <w:t>Of which EUR 5.00 million from the 'Food, Bioeconomy, Natural Resources, Agriculture and Environment' budget.</w:t>
      </w:r>
    </w:p>
  </w:footnote>
  <w:footnote w:id="80">
    <w:p w14:paraId="6CDE1E4F" w14:textId="77777777" w:rsidR="00401FAE" w:rsidRDefault="00787C76">
      <w:pPr>
        <w:pStyle w:val="footnote1"/>
      </w:pPr>
      <w:r>
        <w:rPr>
          <w:vertAlign w:val="superscript"/>
        </w:rPr>
        <w:footnoteRef/>
      </w:r>
      <w:r>
        <w:rPr>
          <w:vertAlign w:val="superscript"/>
        </w:rPr>
        <w:tab/>
      </w:r>
      <w:r>
        <w:rPr>
          <w:color w:val="000000"/>
        </w:rPr>
        <w:t>The mission report Caring for Soil is Caring for Life defines a) Living Labs as spaces for co-innovation through participatory, transdisciplinary and systemic research and b) Lighthouses as places for demonstration of solutions, training and communication.</w:t>
      </w:r>
    </w:p>
  </w:footnote>
  <w:footnote w:id="81">
    <w:p w14:paraId="203DBB2E" w14:textId="77777777" w:rsidR="00401FAE" w:rsidRDefault="00787C76">
      <w:pPr>
        <w:pStyle w:val="footnote1"/>
      </w:pPr>
      <w:r>
        <w:rPr>
          <w:vertAlign w:val="superscript"/>
        </w:rPr>
        <w:footnoteRef/>
      </w:r>
      <w:r>
        <w:rPr>
          <w:vertAlign w:val="superscript"/>
        </w:rPr>
        <w:tab/>
      </w:r>
      <w:r>
        <w:rPr>
          <w:color w:val="000000"/>
        </w:rPr>
        <w:t xml:space="preserve">The EU Soil Observatory was launched 4 December 2020: </w:t>
      </w:r>
      <w:hyperlink r:id="rId35">
        <w:r>
          <w:rPr>
            <w:color w:val="0000FF"/>
            <w:szCs w:val="20"/>
            <w:u w:val="single"/>
          </w:rPr>
          <w:t>https://ec.europa.eu/jrc/en/eu-soil-observatory</w:t>
        </w:r>
      </w:hyperlink>
    </w:p>
  </w:footnote>
  <w:footnote w:id="82">
    <w:p w14:paraId="7B429E90"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5C9E5C2" w14:textId="77777777" w:rsidR="00401FAE" w:rsidRDefault="00787C76">
      <w:pPr>
        <w:pStyle w:val="footnote2"/>
      </w:pPr>
      <w:r>
        <w:rPr>
          <w:color w:val="000000"/>
        </w:rPr>
        <w:t>The Director-General responsible may delay the deadline(s) by up to two months.</w:t>
      </w:r>
    </w:p>
    <w:p w14:paraId="6D802F98" w14:textId="77777777" w:rsidR="00401FAE" w:rsidRDefault="00787C76">
      <w:pPr>
        <w:pStyle w:val="footnote2"/>
      </w:pPr>
      <w:r>
        <w:rPr>
          <w:color w:val="000000"/>
        </w:rPr>
        <w:t>All deadlines are at 17.00.00 Brussels local time.</w:t>
      </w:r>
    </w:p>
    <w:p w14:paraId="69AEDE8A"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83">
    <w:p w14:paraId="749C4BF1"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4">
    <w:p w14:paraId="2B1A4766" w14:textId="77777777" w:rsidR="00401FAE" w:rsidRDefault="00787C76">
      <w:pPr>
        <w:pStyle w:val="footnote1"/>
      </w:pPr>
      <w:r>
        <w:rPr>
          <w:vertAlign w:val="superscript"/>
        </w:rPr>
        <w:footnoteRef/>
      </w:r>
      <w:r>
        <w:rPr>
          <w:vertAlign w:val="superscript"/>
        </w:rPr>
        <w:tab/>
      </w:r>
      <w:r>
        <w:rPr>
          <w:color w:val="000000"/>
        </w:rPr>
        <w:t>Of which EUR 0.38 million from the 'Food, Bioeconomy, Natural Resources, Agriculture and Environment' budget and EUR 0.58 million from the 'Digital, Industry and Space' budget and EUR 0.29 million from the 'Health' budget and EUR 0.07 million from the 'Civil Security for Society' budget and EUR 0.58 million from the 'Climate, Energy and Mobility' budget and EUR 0.09 million from the 'Culture, creativity and inclusive society' budget.</w:t>
      </w:r>
    </w:p>
  </w:footnote>
  <w:footnote w:id="85">
    <w:p w14:paraId="2A31EECB" w14:textId="77777777" w:rsidR="00401FAE" w:rsidRDefault="00787C76">
      <w:pPr>
        <w:pStyle w:val="footnote1"/>
      </w:pPr>
      <w:r>
        <w:rPr>
          <w:vertAlign w:val="superscript"/>
        </w:rPr>
        <w:footnoteRef/>
      </w:r>
      <w:r>
        <w:rPr>
          <w:vertAlign w:val="superscript"/>
        </w:rPr>
        <w:tab/>
      </w:r>
      <w:r>
        <w:rPr>
          <w:color w:val="000000"/>
        </w:rPr>
        <w:t>The European Commission is assessing the implementation plans of the 5 Mission areas and a decision will be made on the basis of assessment criteria set by the HE Regulation.</w:t>
      </w:r>
    </w:p>
  </w:footnote>
  <w:footnote w:id="86">
    <w:p w14:paraId="58A2BA4F" w14:textId="77777777" w:rsidR="00401FAE" w:rsidRDefault="00787C76">
      <w:pPr>
        <w:pStyle w:val="footnote1"/>
      </w:pPr>
      <w:r>
        <w:rPr>
          <w:vertAlign w:val="superscript"/>
        </w:rPr>
        <w:footnoteRef/>
      </w:r>
      <w:r>
        <w:rPr>
          <w:vertAlign w:val="superscript"/>
        </w:rPr>
        <w:tab/>
      </w:r>
      <w:r>
        <w:rPr>
          <w:color w:val="000000"/>
        </w:rPr>
        <w:t xml:space="preserve">The ‘built environment’ encompasses everything people live in and around –materials, products, buildings, public spaces, infrastructures, service networks, and districts and settlements up to villages, towns and cities. The term includes attributes linked to physical and mental health (through accessibility, bikeability and walkability). It also includes the process of working with land, planning and designing its use, managing existing structures, and final stages of demolition and recycling. Source: </w:t>
      </w:r>
      <w:hyperlink r:id="rId36">
        <w:r>
          <w:rPr>
            <w:color w:val="0000FF"/>
            <w:szCs w:val="20"/>
            <w:u w:val="single"/>
          </w:rPr>
          <w:t>https://ec.europa.eu/docsroom/documents/40541/attachments/1/translations/en/renditions/pdf</w:t>
        </w:r>
      </w:hyperlink>
    </w:p>
  </w:footnote>
  <w:footnote w:id="87">
    <w:p w14:paraId="75D25D5C" w14:textId="77777777" w:rsidR="00401FAE" w:rsidRDefault="00787C76">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2548B82" w14:textId="77777777" w:rsidR="00401FAE" w:rsidRDefault="00787C76">
      <w:pPr>
        <w:pStyle w:val="footnote2"/>
      </w:pPr>
      <w:r>
        <w:rPr>
          <w:color w:val="000000"/>
        </w:rPr>
        <w:t>The Director-General responsible may delay the deadline(s) by up to two months.</w:t>
      </w:r>
    </w:p>
    <w:p w14:paraId="2078C216" w14:textId="77777777" w:rsidR="00401FAE" w:rsidRDefault="00787C76">
      <w:pPr>
        <w:pStyle w:val="footnote2"/>
      </w:pPr>
      <w:r>
        <w:rPr>
          <w:color w:val="000000"/>
        </w:rPr>
        <w:t>All deadlines are at 17.00.00 Brussels local time.</w:t>
      </w:r>
    </w:p>
    <w:p w14:paraId="53BA80E3"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88">
    <w:p w14:paraId="34EF5577" w14:textId="77777777" w:rsidR="00401FAE" w:rsidRDefault="00787C76">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9">
    <w:p w14:paraId="5CAE7744" w14:textId="77777777" w:rsidR="00401FAE" w:rsidRDefault="00787C76">
      <w:pPr>
        <w:pStyle w:val="footnote1"/>
      </w:pPr>
      <w:r>
        <w:rPr>
          <w:vertAlign w:val="superscript"/>
        </w:rPr>
        <w:footnoteRef/>
      </w:r>
      <w:r>
        <w:rPr>
          <w:vertAlign w:val="superscript"/>
        </w:rPr>
        <w:tab/>
      </w:r>
      <w:r>
        <w:rPr>
          <w:color w:val="000000"/>
        </w:rPr>
        <w:t>Of which EUR 4.77 million from the 'Food, Bioeconomy, Natural Resources, Agriculture and Environment' budget and EUR 7.28 million from the 'Digital, Industry and Space' budget and EUR 3.67 million from the 'Health' budget and EUR 0.85 million from the 'Civil Security for Society' budget and EUR 7.28 million from the 'Climate, Energy and Mobility' budget and EUR 1.16 million from the 'Culture, creativity and inclusive society' budget.</w:t>
      </w:r>
    </w:p>
  </w:footnote>
  <w:footnote w:id="90">
    <w:p w14:paraId="2C225F05" w14:textId="77777777" w:rsidR="00401FAE" w:rsidRDefault="00787C76">
      <w:pPr>
        <w:pStyle w:val="footnote1"/>
      </w:pPr>
      <w:r>
        <w:rPr>
          <w:vertAlign w:val="superscript"/>
        </w:rPr>
        <w:footnoteRef/>
      </w:r>
      <w:r>
        <w:rPr>
          <w:vertAlign w:val="superscript"/>
        </w:rPr>
        <w:tab/>
      </w:r>
      <w:r>
        <w:rPr>
          <w:color w:val="000000"/>
        </w:rPr>
        <w:t>The budget amounts are subject to the availability of the appropriations provided for in the general budget of the Union for years 2021 and 2022.</w:t>
      </w:r>
    </w:p>
  </w:footnote>
  <w:footnote w:id="91">
    <w:p w14:paraId="3DA40B33" w14:textId="77777777" w:rsidR="00401FAE" w:rsidRDefault="00787C76">
      <w:pPr>
        <w:pStyle w:val="footnote1"/>
      </w:pPr>
      <w:r>
        <w:rPr>
          <w:vertAlign w:val="superscript"/>
        </w:rPr>
        <w:footnoteRef/>
      </w:r>
      <w:r>
        <w:rPr>
          <w:vertAlign w:val="superscript"/>
        </w:rPr>
        <w:tab/>
      </w:r>
      <w:r>
        <w:rPr>
          <w:color w:val="000000"/>
        </w:rPr>
        <w:t>Of which EUR 0.38 million from the 'Food, Bioeconomy, Natural Resources, Agriculture and Environment' budget,EUR 0.58 million from the 'Digital, Industry and Space' budget,EUR 0.29 million from the 'Health' budget,EUR 0.58 million from the 'Climate, Energy and Mobility' budget,EUR 0.07 million from the 'Civil Security for Society' budget,EUR 0.09 million from the 'Culture, creativity and inclusive society' budget.</w:t>
      </w:r>
    </w:p>
  </w:footnote>
  <w:footnote w:id="92">
    <w:p w14:paraId="594E68D6" w14:textId="77777777" w:rsidR="00401FAE" w:rsidRDefault="00787C76">
      <w:pPr>
        <w:pStyle w:val="footnote1"/>
      </w:pPr>
      <w:r>
        <w:rPr>
          <w:vertAlign w:val="superscript"/>
        </w:rPr>
        <w:footnoteRef/>
      </w:r>
      <w:r>
        <w:rPr>
          <w:vertAlign w:val="superscript"/>
        </w:rPr>
        <w:tab/>
      </w:r>
      <w:r>
        <w:rPr>
          <w:color w:val="000000"/>
        </w:rPr>
        <w:t>Of which EUR 0.38 million from the 'Food, Bioeconomy, Natural Resources, Agriculture and Environment' budget,EUR 0.58 million from the 'Digital, Industry and Space' budget,EUR 0.29 million from the 'Health' budget,EUR 0.07 million from the 'Civil Security for Society' budget,EUR 0.58 million from the 'Climate, Energy and Mobility' budget,EUR 0.09 million from the 'Culture, creativity and inclusive society' budget.</w:t>
      </w:r>
    </w:p>
  </w:footnote>
  <w:footnote w:id="93">
    <w:p w14:paraId="3018B442" w14:textId="77777777" w:rsidR="00401FAE" w:rsidRDefault="00787C76">
      <w:pPr>
        <w:pStyle w:val="footnote1"/>
      </w:pPr>
      <w:r>
        <w:rPr>
          <w:vertAlign w:val="superscript"/>
        </w:rPr>
        <w:footnoteRef/>
      </w:r>
      <w:r>
        <w:rPr>
          <w:vertAlign w:val="superscript"/>
        </w:rPr>
        <w:tab/>
      </w:r>
      <w:r>
        <w:rPr>
          <w:color w:val="000000"/>
        </w:rPr>
        <w:t>Of which EUR 2.00 million from the 'Health' budget.</w:t>
      </w:r>
    </w:p>
  </w:footnote>
  <w:footnote w:id="94">
    <w:p w14:paraId="3EC80BA3" w14:textId="77777777" w:rsidR="00401FAE" w:rsidRDefault="00787C76">
      <w:pPr>
        <w:pStyle w:val="footnote1"/>
      </w:pPr>
      <w:r>
        <w:rPr>
          <w:vertAlign w:val="superscript"/>
        </w:rPr>
        <w:footnoteRef/>
      </w:r>
      <w:r>
        <w:rPr>
          <w:vertAlign w:val="superscript"/>
        </w:rPr>
        <w:tab/>
      </w:r>
      <w:r>
        <w:rPr>
          <w:color w:val="000000"/>
        </w:rPr>
        <w:t>Of which EUR 0.29 million from the 'Food, Bioeconomy, Natural Resources, Agriculture and Environment' budget,EUR 0.44 million from the 'Digital, Industry and Space' budget,EUR 0.22 million from the 'Health' budget,EUR 0.44 million from the 'Climate, Energy and Mobility' budget,EUR 0.05 million from the 'Civil Security for Society' budget,EUR 0.07 million from the 'Culture, creativity and inclusive society' budget.</w:t>
      </w:r>
    </w:p>
  </w:footnote>
  <w:footnote w:id="95">
    <w:p w14:paraId="1B7346E1" w14:textId="77777777" w:rsidR="00401FAE" w:rsidRDefault="00787C76">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96">
    <w:p w14:paraId="3072F756" w14:textId="77777777" w:rsidR="00401FAE" w:rsidRDefault="00787C76">
      <w:pPr>
        <w:pStyle w:val="footnote1"/>
      </w:pPr>
      <w:r>
        <w:rPr>
          <w:vertAlign w:val="superscript"/>
        </w:rPr>
        <w:footnoteRef/>
      </w:r>
      <w:r>
        <w:rPr>
          <w:vertAlign w:val="superscript"/>
        </w:rPr>
        <w:tab/>
      </w:r>
      <w:r>
        <w:rPr>
          <w:color w:val="000000"/>
        </w:rPr>
        <w:t>COM(2019) 640 final: The European Green Deal_ https://eur-lex.europa.eu/legal-content/EN/TXT/HTML/?uri=CELEX:52019DC0640&amp;from=EN</w:t>
      </w:r>
    </w:p>
  </w:footnote>
  <w:footnote w:id="97">
    <w:p w14:paraId="458770AA" w14:textId="77777777" w:rsidR="00401FAE" w:rsidRDefault="00787C76">
      <w:pPr>
        <w:pStyle w:val="footnote1"/>
      </w:pPr>
      <w:r>
        <w:rPr>
          <w:vertAlign w:val="superscript"/>
        </w:rPr>
        <w:footnoteRef/>
      </w:r>
      <w:r>
        <w:rPr>
          <w:vertAlign w:val="superscript"/>
        </w:rPr>
        <w:tab/>
      </w:r>
      <w:r>
        <w:rPr>
          <w:color w:val="000000"/>
        </w:rPr>
        <w:t>https://ec.europa.eu/info/law/better-regulation/have-your-say/initiatives/12381-EU-Strategy-on-</w:t>
      </w:r>
    </w:p>
  </w:footnote>
  <w:footnote w:id="98">
    <w:p w14:paraId="77F9FC1A" w14:textId="77777777" w:rsidR="00401FAE" w:rsidRDefault="00787C76">
      <w:pPr>
        <w:pStyle w:val="footnote1"/>
      </w:pPr>
      <w:r>
        <w:rPr>
          <w:vertAlign w:val="superscript"/>
        </w:rPr>
        <w:footnoteRef/>
      </w:r>
      <w:r>
        <w:rPr>
          <w:vertAlign w:val="superscript"/>
        </w:rPr>
        <w:tab/>
      </w:r>
      <w:r>
        <w:rPr>
          <w:color w:val="000000"/>
        </w:rPr>
        <w:t>https://ec.europa.eu/info/funding-tenders/opportunities/portal/screen/opportunities/topic-details/lc-gd-1-2-2020</w:t>
      </w:r>
    </w:p>
  </w:footnote>
  <w:footnote w:id="99">
    <w:p w14:paraId="4C496330" w14:textId="77777777" w:rsidR="00401FAE" w:rsidRDefault="00787C76">
      <w:pPr>
        <w:pStyle w:val="footnote1"/>
      </w:pPr>
      <w:r>
        <w:rPr>
          <w:vertAlign w:val="superscript"/>
        </w:rPr>
        <w:footnoteRef/>
      </w:r>
      <w:r>
        <w:rPr>
          <w:vertAlign w:val="superscript"/>
        </w:rPr>
        <w:tab/>
      </w:r>
      <w:r>
        <w:rPr>
          <w:color w:val="000000"/>
        </w:rPr>
        <w:t>Of which EUR 1.00 million from the 'Climate, Energy and Mobility' budget.</w:t>
      </w:r>
    </w:p>
  </w:footnote>
  <w:footnote w:id="100">
    <w:p w14:paraId="366EF816" w14:textId="77777777" w:rsidR="00401FAE" w:rsidRDefault="00787C76">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101">
    <w:p w14:paraId="5A30410D" w14:textId="77777777" w:rsidR="00401FAE" w:rsidRDefault="00787C76">
      <w:pPr>
        <w:pStyle w:val="footnote1"/>
      </w:pPr>
      <w:r>
        <w:rPr>
          <w:vertAlign w:val="superscript"/>
        </w:rPr>
        <w:footnoteRef/>
      </w:r>
      <w:r>
        <w:rPr>
          <w:vertAlign w:val="superscript"/>
        </w:rPr>
        <w:tab/>
      </w:r>
      <w:r>
        <w:rPr>
          <w:color w:val="000000"/>
        </w:rPr>
        <w:t>Of which EUR 0.03 million from the 'Food, Bioeconomy, Natural Resources, Agriculture and Environment' budget,EUR 0.04 million from the 'Digital, Industry and Space' budget,EUR 0.02 million from the 'Health' budget,EUR 0.01 million from the 'Civil Security for Society' budget,EUR 0.04 million from the 'Climate, Energy and Mobility' budget,EUR 0.01 million from the 'Culture, creativity and inclusive society' budget.</w:t>
      </w:r>
    </w:p>
  </w:footnote>
  <w:footnote w:id="102">
    <w:p w14:paraId="083C807E" w14:textId="77777777" w:rsidR="00401FAE" w:rsidRDefault="00787C76">
      <w:pPr>
        <w:pStyle w:val="footnote1"/>
      </w:pPr>
      <w:r>
        <w:rPr>
          <w:vertAlign w:val="superscript"/>
        </w:rPr>
        <w:footnoteRef/>
      </w:r>
      <w:r>
        <w:rPr>
          <w:vertAlign w:val="superscript"/>
        </w:rPr>
        <w:tab/>
      </w:r>
      <w:r>
        <w:rPr>
          <w:color w:val="000000"/>
        </w:rPr>
        <w:t>The budget figures given in this table are rounded to two decimal places.</w:t>
      </w:r>
    </w:p>
    <w:p w14:paraId="141A236A" w14:textId="77777777" w:rsidR="00401FAE" w:rsidRDefault="00787C76">
      <w:pPr>
        <w:pStyle w:val="footnote2"/>
      </w:pPr>
      <w:r>
        <w:rPr>
          <w:color w:val="000000"/>
        </w:rPr>
        <w:t>The budget amounts are subject to the availability of the appropriations provided for in the general budget of the Union for years 2021 and 2022.</w:t>
      </w:r>
    </w:p>
  </w:footnote>
  <w:footnote w:id="103">
    <w:p w14:paraId="49CD517B" w14:textId="77777777" w:rsidR="00401FAE" w:rsidRDefault="00787C76">
      <w:pPr>
        <w:pStyle w:val="footnote1"/>
      </w:pPr>
      <w:r>
        <w:rPr>
          <w:vertAlign w:val="superscript"/>
        </w:rPr>
        <w:footnoteRef/>
      </w:r>
      <w:r>
        <w:rPr>
          <w:vertAlign w:val="superscript"/>
        </w:rPr>
        <w:tab/>
      </w:r>
      <w:r>
        <w:rPr>
          <w:color w:val="000000"/>
        </w:rPr>
        <w:t>To which EUR 0.38 million from the 'Food, Bioeconomy, Natural Resources, Agriculture and Environment' budget and EUR 0.58 million from the 'Digital, Industry and Space' budget and EUR 0.29 million from the 'Health' budget and EUR 0.58 million from the 'Climate, Energy and Mobility' budget and EUR 0.07 million from the 'Civil Security for Society' budget and EUR 0.09 million from the 'Culture, creativity and inclusive society' budget will be added making a total of EUR 2.00 million for these actions.</w:t>
      </w:r>
    </w:p>
  </w:footnote>
  <w:footnote w:id="104">
    <w:p w14:paraId="64BBA975" w14:textId="77777777" w:rsidR="00401FAE" w:rsidRDefault="00787C76">
      <w:pPr>
        <w:pStyle w:val="footnote1"/>
      </w:pPr>
      <w:r>
        <w:rPr>
          <w:vertAlign w:val="superscript"/>
        </w:rPr>
        <w:footnoteRef/>
      </w:r>
      <w:r>
        <w:rPr>
          <w:vertAlign w:val="superscript"/>
        </w:rPr>
        <w:tab/>
      </w:r>
      <w:r>
        <w:rPr>
          <w:color w:val="000000"/>
        </w:rPr>
        <w:t>To which EUR 0.38 million from the 'Food, Bioeconomy, Natural Resources, Agriculture and Environment' budget and EUR 0.58 million from the 'Digital, Industry and Space' budget and EUR 2.29 million from the 'Health' budget and EUR 0.07 million from the 'Civil Security for Society' budget and EUR 0.58 million from the 'Climate, Energy and Mobility' budget and EUR 0.09 million from the 'Culture, creativity and inclusive society' budget will be added making a total of EUR 4.00 million for these actions.</w:t>
      </w:r>
    </w:p>
  </w:footnote>
  <w:footnote w:id="105">
    <w:p w14:paraId="0E60DC2D" w14:textId="77777777" w:rsidR="00401FAE" w:rsidRDefault="00787C76">
      <w:pPr>
        <w:pStyle w:val="footnote1"/>
      </w:pPr>
      <w:r>
        <w:rPr>
          <w:vertAlign w:val="superscript"/>
        </w:rPr>
        <w:footnoteRef/>
      </w:r>
      <w:r>
        <w:rPr>
          <w:vertAlign w:val="superscript"/>
        </w:rPr>
        <w:tab/>
      </w:r>
      <w:r>
        <w:rPr>
          <w:color w:val="000000"/>
        </w:rPr>
        <w:t>To which EUR 0.29 million from the 'Food, Bioeconomy, Natural Resources, Agriculture and Environment' budget and EUR 0.44 million from the 'Digital, Industry and Space' budget and EUR 0.22 million from the 'Health' budget and EUR 0.44 million from the 'Climate, Energy and Mobility' budget and EUR 0.05 million from the 'Civil Security for Society' budget and EUR 0.07 million from the 'Culture, creativity and inclusive society' budget will be added making a total of EUR 1.50 million for these actions.</w:t>
      </w:r>
    </w:p>
  </w:footnote>
  <w:footnote w:id="106">
    <w:p w14:paraId="34EB68B0" w14:textId="77777777" w:rsidR="00401FAE" w:rsidRDefault="00787C76">
      <w:pPr>
        <w:pStyle w:val="footnote1"/>
      </w:pPr>
      <w:r>
        <w:rPr>
          <w:vertAlign w:val="superscript"/>
        </w:rPr>
        <w:footnoteRef/>
      </w:r>
      <w:r>
        <w:rPr>
          <w:vertAlign w:val="superscript"/>
        </w:rPr>
        <w:tab/>
      </w:r>
      <w:r>
        <w:rPr>
          <w:color w:val="000000"/>
        </w:rPr>
        <w:t>To which EUR 1.00 million from the 'Climate, Energy and Mobility' budget will be added making a total of EUR 1.00 million for these actions.</w:t>
      </w:r>
    </w:p>
  </w:footnote>
  <w:footnote w:id="107">
    <w:p w14:paraId="461C0692" w14:textId="77777777" w:rsidR="00401FAE" w:rsidRDefault="00787C76">
      <w:pPr>
        <w:pStyle w:val="footnote1"/>
      </w:pPr>
      <w:r>
        <w:rPr>
          <w:vertAlign w:val="superscript"/>
        </w:rPr>
        <w:footnoteRef/>
      </w:r>
      <w:r>
        <w:rPr>
          <w:vertAlign w:val="superscript"/>
        </w:rPr>
        <w:tab/>
      </w:r>
      <w:r>
        <w:rPr>
          <w:color w:val="000000"/>
        </w:rPr>
        <w:t>To which EUR 0.03 million from the 'Food, Bioeconomy, Natural Resources, Agriculture and Environment' budget and EUR 0.04 million from the 'Digital, Industry and Space' budget and EUR 0.02 million from the 'Health' budget and EUR 0.01 million from the 'Civil Security for Society' budget and EUR 0.04 million from the 'Climate, Energy and Mobility' budget and EUR 0.01 million from the 'Culture, creativity and inclusive society' budget will be added making a total of EUR 0.15 million for these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C8B1" w14:textId="77777777" w:rsidR="00254CB4" w:rsidRDefault="00254C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FB76" w14:textId="77777777" w:rsidR="00942B6D" w:rsidRPr="00645F70" w:rsidRDefault="005E4C75" w:rsidP="00645F70">
    <w:pPr>
      <w:pStyle w:val="HeaderStyle"/>
    </w:pPr>
    <w:sdt>
      <w:sdtPr>
        <w:id w:val="384768709"/>
        <w:docPartObj>
          <w:docPartGallery w:val="Watermarks"/>
          <w:docPartUnique/>
        </w:docPartObj>
      </w:sdtPr>
      <w:sdtEndPr/>
      <w:sdtContent>
        <w:r>
          <w:rPr>
            <w:noProof/>
            <w:lang w:val="en-US" w:eastAsia="zh-TW"/>
          </w:rPr>
          <w:pict w14:anchorId="6FA7F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Missions</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E91B" w14:textId="4CDF853F" w:rsidR="006A6038" w:rsidRDefault="004906F0" w:rsidP="00F37A29">
    <w:pPr>
      <w:pStyle w:val="En-tte"/>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1A7F1C75" wp14:editId="12687865">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9AD8E" w14:textId="77777777" w:rsidR="004906F0" w:rsidRDefault="004906F0" w:rsidP="004906F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7F1C75"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" o:allowincell="f" filled="f" stroked="f">
              <v:stroke joinstyle="round"/>
              <o:lock v:ext="edit" shapetype="t"/>
              <v:textbox style="mso-fit-shape-to-text:t">
                <w:txbxContent>
                  <w:p w14:paraId="5899AD8E" w14:textId="77777777" w:rsidR="004906F0" w:rsidRDefault="004906F0" w:rsidP="004906F0">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41"/>
    <w:multiLevelType w:val="hybridMultilevel"/>
    <w:tmpl w:val="F1E219A6"/>
    <w:name w:val="CPSNumberingScheme"/>
    <w:lvl w:ilvl="0" w:tplc="503C6974">
      <w:start w:val="1"/>
      <w:numFmt w:val="decimal"/>
      <w:lvlText w:val="%1."/>
      <w:lvlJc w:val="right"/>
      <w:pPr>
        <w:ind w:left="500" w:hanging="180"/>
      </w:pPr>
    </w:lvl>
    <w:lvl w:ilvl="1" w:tplc="044AD678">
      <w:start w:val="1"/>
      <w:numFmt w:val="decimal"/>
      <w:lvlText w:val="%2."/>
      <w:lvlJc w:val="right"/>
      <w:pPr>
        <w:ind w:left="1000" w:hanging="180"/>
      </w:pPr>
    </w:lvl>
    <w:lvl w:ilvl="2" w:tplc="4A1214E0">
      <w:start w:val="1"/>
      <w:numFmt w:val="decimal"/>
      <w:lvlText w:val="%3."/>
      <w:lvlJc w:val="right"/>
      <w:pPr>
        <w:ind w:left="1500" w:hanging="180"/>
      </w:pPr>
    </w:lvl>
    <w:lvl w:ilvl="3" w:tplc="42A0876A">
      <w:start w:val="1"/>
      <w:numFmt w:val="decimal"/>
      <w:lvlText w:val="%4."/>
      <w:lvlJc w:val="right"/>
      <w:pPr>
        <w:ind w:left="2000" w:hanging="180"/>
      </w:pPr>
    </w:lvl>
    <w:lvl w:ilvl="4" w:tplc="50EA9DCC">
      <w:start w:val="1"/>
      <w:numFmt w:val="decimal"/>
      <w:lvlText w:val="%5."/>
      <w:lvlJc w:val="right"/>
      <w:pPr>
        <w:ind w:left="2500" w:hanging="180"/>
      </w:pPr>
    </w:lvl>
    <w:lvl w:ilvl="5" w:tplc="4C04A884">
      <w:start w:val="1"/>
      <w:numFmt w:val="decimal"/>
      <w:lvlText w:val="%6."/>
      <w:lvlJc w:val="right"/>
      <w:pPr>
        <w:ind w:left="3000" w:hanging="180"/>
      </w:pPr>
    </w:lvl>
    <w:lvl w:ilvl="6" w:tplc="3B7451AA">
      <w:start w:val="1"/>
      <w:numFmt w:val="decimal"/>
      <w:lvlText w:val="%7."/>
      <w:lvlJc w:val="right"/>
      <w:pPr>
        <w:ind w:left="3500" w:hanging="180"/>
      </w:pPr>
    </w:lvl>
    <w:lvl w:ilvl="7" w:tplc="60CE1B86">
      <w:start w:val="1"/>
      <w:numFmt w:val="decimal"/>
      <w:lvlText w:val="%8."/>
      <w:lvlJc w:val="right"/>
      <w:pPr>
        <w:ind w:left="4000" w:hanging="180"/>
      </w:pPr>
    </w:lvl>
    <w:lvl w:ilvl="8" w:tplc="4AC4B636">
      <w:start w:val="1"/>
      <w:numFmt w:val="decimal"/>
      <w:lvlText w:val="%9."/>
      <w:lvlJc w:val="right"/>
      <w:pPr>
        <w:ind w:left="4500" w:hanging="180"/>
      </w:pPr>
    </w:lvl>
  </w:abstractNum>
  <w:abstractNum w:abstractNumId="1" w15:restartNumberingAfterBreak="0">
    <w:nsid w:val="04A9710D"/>
    <w:multiLevelType w:val="hybridMultilevel"/>
    <w:tmpl w:val="7AC09F22"/>
    <w:name w:val="CPSNumberingScheme"/>
    <w:lvl w:ilvl="0" w:tplc="6180CC50">
      <w:start w:val="1"/>
      <w:numFmt w:val="decimal"/>
      <w:lvlText w:val="%1."/>
      <w:lvlJc w:val="right"/>
      <w:pPr>
        <w:ind w:left="500" w:hanging="180"/>
      </w:pPr>
    </w:lvl>
    <w:lvl w:ilvl="1" w:tplc="D3CCD7C0">
      <w:start w:val="1"/>
      <w:numFmt w:val="decimal"/>
      <w:lvlText w:val="%2."/>
      <w:lvlJc w:val="right"/>
      <w:pPr>
        <w:ind w:left="1000" w:hanging="180"/>
      </w:pPr>
    </w:lvl>
    <w:lvl w:ilvl="2" w:tplc="834C8764">
      <w:start w:val="1"/>
      <w:numFmt w:val="decimal"/>
      <w:lvlText w:val="%3."/>
      <w:lvlJc w:val="right"/>
      <w:pPr>
        <w:ind w:left="1500" w:hanging="180"/>
      </w:pPr>
    </w:lvl>
    <w:lvl w:ilvl="3" w:tplc="9D208106">
      <w:start w:val="1"/>
      <w:numFmt w:val="decimal"/>
      <w:lvlText w:val="%4."/>
      <w:lvlJc w:val="right"/>
      <w:pPr>
        <w:ind w:left="2000" w:hanging="180"/>
      </w:pPr>
    </w:lvl>
    <w:lvl w:ilvl="4" w:tplc="3B42CADC">
      <w:start w:val="1"/>
      <w:numFmt w:val="decimal"/>
      <w:lvlText w:val="%5."/>
      <w:lvlJc w:val="right"/>
      <w:pPr>
        <w:ind w:left="2500" w:hanging="180"/>
      </w:pPr>
    </w:lvl>
    <w:lvl w:ilvl="5" w:tplc="01602A52">
      <w:start w:val="1"/>
      <w:numFmt w:val="decimal"/>
      <w:lvlText w:val="%6."/>
      <w:lvlJc w:val="right"/>
      <w:pPr>
        <w:ind w:left="3000" w:hanging="180"/>
      </w:pPr>
    </w:lvl>
    <w:lvl w:ilvl="6" w:tplc="15D626AA">
      <w:start w:val="1"/>
      <w:numFmt w:val="decimal"/>
      <w:lvlText w:val="%7."/>
      <w:lvlJc w:val="right"/>
      <w:pPr>
        <w:ind w:left="3500" w:hanging="180"/>
      </w:pPr>
    </w:lvl>
    <w:lvl w:ilvl="7" w:tplc="9696A6E4">
      <w:start w:val="1"/>
      <w:numFmt w:val="decimal"/>
      <w:lvlText w:val="%8."/>
      <w:lvlJc w:val="right"/>
      <w:pPr>
        <w:ind w:left="4000" w:hanging="180"/>
      </w:pPr>
    </w:lvl>
    <w:lvl w:ilvl="8" w:tplc="EDC0A590">
      <w:start w:val="1"/>
      <w:numFmt w:val="decimal"/>
      <w:lvlText w:val="%9."/>
      <w:lvlJc w:val="right"/>
      <w:pPr>
        <w:ind w:left="4500" w:hanging="180"/>
      </w:pPr>
    </w:lvl>
  </w:abstractNum>
  <w:abstractNum w:abstractNumId="2" w15:restartNumberingAfterBreak="0">
    <w:nsid w:val="04DB79C5"/>
    <w:multiLevelType w:val="hybridMultilevel"/>
    <w:tmpl w:val="77AA4B56"/>
    <w:name w:val="CPSNumberingScheme"/>
    <w:lvl w:ilvl="0" w:tplc="B104806E">
      <w:start w:val="1"/>
      <w:numFmt w:val="decimal"/>
      <w:lvlText w:val="%1."/>
      <w:lvlJc w:val="right"/>
      <w:pPr>
        <w:ind w:left="500" w:hanging="180"/>
      </w:pPr>
    </w:lvl>
    <w:lvl w:ilvl="1" w:tplc="7A80E554">
      <w:start w:val="1"/>
      <w:numFmt w:val="decimal"/>
      <w:lvlText w:val="%2."/>
      <w:lvlJc w:val="right"/>
      <w:pPr>
        <w:ind w:left="1000" w:hanging="180"/>
      </w:pPr>
    </w:lvl>
    <w:lvl w:ilvl="2" w:tplc="714E59A6">
      <w:start w:val="1"/>
      <w:numFmt w:val="decimal"/>
      <w:lvlText w:val="%3."/>
      <w:lvlJc w:val="right"/>
      <w:pPr>
        <w:ind w:left="1500" w:hanging="180"/>
      </w:pPr>
    </w:lvl>
    <w:lvl w:ilvl="3" w:tplc="B07CFD48">
      <w:start w:val="1"/>
      <w:numFmt w:val="decimal"/>
      <w:lvlText w:val="%4."/>
      <w:lvlJc w:val="right"/>
      <w:pPr>
        <w:ind w:left="2000" w:hanging="180"/>
      </w:pPr>
    </w:lvl>
    <w:lvl w:ilvl="4" w:tplc="5C4A16F2">
      <w:start w:val="1"/>
      <w:numFmt w:val="decimal"/>
      <w:lvlText w:val="%5."/>
      <w:lvlJc w:val="right"/>
      <w:pPr>
        <w:ind w:left="2500" w:hanging="180"/>
      </w:pPr>
    </w:lvl>
    <w:lvl w:ilvl="5" w:tplc="907EB5DA">
      <w:start w:val="1"/>
      <w:numFmt w:val="decimal"/>
      <w:lvlText w:val="%6."/>
      <w:lvlJc w:val="right"/>
      <w:pPr>
        <w:ind w:left="3000" w:hanging="180"/>
      </w:pPr>
    </w:lvl>
    <w:lvl w:ilvl="6" w:tplc="10CCA8EA">
      <w:start w:val="1"/>
      <w:numFmt w:val="decimal"/>
      <w:lvlText w:val="%7."/>
      <w:lvlJc w:val="right"/>
      <w:pPr>
        <w:ind w:left="3500" w:hanging="180"/>
      </w:pPr>
    </w:lvl>
    <w:lvl w:ilvl="7" w:tplc="CC7A164A">
      <w:start w:val="1"/>
      <w:numFmt w:val="decimal"/>
      <w:lvlText w:val="%8."/>
      <w:lvlJc w:val="right"/>
      <w:pPr>
        <w:ind w:left="4000" w:hanging="180"/>
      </w:pPr>
    </w:lvl>
    <w:lvl w:ilvl="8" w:tplc="6A049EF4">
      <w:start w:val="1"/>
      <w:numFmt w:val="decimal"/>
      <w:lvlText w:val="%9."/>
      <w:lvlJc w:val="right"/>
      <w:pPr>
        <w:ind w:left="4500" w:hanging="180"/>
      </w:pPr>
    </w:lvl>
  </w:abstractNum>
  <w:abstractNum w:abstractNumId="3"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2A0"/>
    <w:multiLevelType w:val="hybridMultilevel"/>
    <w:tmpl w:val="CD56E476"/>
    <w:name w:val="CPSNumberingScheme"/>
    <w:lvl w:ilvl="0" w:tplc="2C66D4DA">
      <w:start w:val="1"/>
      <w:numFmt w:val="decimal"/>
      <w:lvlText w:val="%1."/>
      <w:lvlJc w:val="right"/>
      <w:pPr>
        <w:ind w:left="500" w:hanging="180"/>
      </w:pPr>
    </w:lvl>
    <w:lvl w:ilvl="1" w:tplc="464EA352">
      <w:start w:val="1"/>
      <w:numFmt w:val="decimal"/>
      <w:lvlText w:val="%2."/>
      <w:lvlJc w:val="right"/>
      <w:pPr>
        <w:ind w:left="1000" w:hanging="180"/>
      </w:pPr>
    </w:lvl>
    <w:lvl w:ilvl="2" w:tplc="2C38EABA">
      <w:start w:val="1"/>
      <w:numFmt w:val="decimal"/>
      <w:lvlText w:val="%3."/>
      <w:lvlJc w:val="right"/>
      <w:pPr>
        <w:ind w:left="1500" w:hanging="180"/>
      </w:pPr>
    </w:lvl>
    <w:lvl w:ilvl="3" w:tplc="A5240A38">
      <w:start w:val="1"/>
      <w:numFmt w:val="decimal"/>
      <w:lvlText w:val="%4."/>
      <w:lvlJc w:val="right"/>
      <w:pPr>
        <w:ind w:left="2000" w:hanging="180"/>
      </w:pPr>
    </w:lvl>
    <w:lvl w:ilvl="4" w:tplc="55B68854">
      <w:start w:val="1"/>
      <w:numFmt w:val="decimal"/>
      <w:lvlText w:val="%5."/>
      <w:lvlJc w:val="right"/>
      <w:pPr>
        <w:ind w:left="2500" w:hanging="180"/>
      </w:pPr>
    </w:lvl>
    <w:lvl w:ilvl="5" w:tplc="9FF4CF40">
      <w:start w:val="1"/>
      <w:numFmt w:val="decimal"/>
      <w:lvlText w:val="%6."/>
      <w:lvlJc w:val="right"/>
      <w:pPr>
        <w:ind w:left="3000" w:hanging="180"/>
      </w:pPr>
    </w:lvl>
    <w:lvl w:ilvl="6" w:tplc="4B1C073A">
      <w:start w:val="1"/>
      <w:numFmt w:val="decimal"/>
      <w:lvlText w:val="%7."/>
      <w:lvlJc w:val="right"/>
      <w:pPr>
        <w:ind w:left="3500" w:hanging="180"/>
      </w:pPr>
    </w:lvl>
    <w:lvl w:ilvl="7" w:tplc="9AD69B8A">
      <w:start w:val="1"/>
      <w:numFmt w:val="decimal"/>
      <w:lvlText w:val="%8."/>
      <w:lvlJc w:val="right"/>
      <w:pPr>
        <w:ind w:left="4000" w:hanging="180"/>
      </w:pPr>
    </w:lvl>
    <w:lvl w:ilvl="8" w:tplc="A51CCAC8">
      <w:start w:val="1"/>
      <w:numFmt w:val="decimal"/>
      <w:lvlText w:val="%9."/>
      <w:lvlJc w:val="right"/>
      <w:pPr>
        <w:ind w:left="4500" w:hanging="180"/>
      </w:pPr>
    </w:lvl>
  </w:abstractNum>
  <w:abstractNum w:abstractNumId="6" w15:restartNumberingAfterBreak="0">
    <w:nsid w:val="18AD5EBC"/>
    <w:multiLevelType w:val="hybridMultilevel"/>
    <w:tmpl w:val="2FE82C5C"/>
    <w:name w:val="CPSNumberingScheme"/>
    <w:lvl w:ilvl="0" w:tplc="3D80DEB4">
      <w:start w:val="1"/>
      <w:numFmt w:val="decimal"/>
      <w:lvlText w:val="%1."/>
      <w:lvlJc w:val="right"/>
      <w:pPr>
        <w:ind w:left="500" w:hanging="180"/>
      </w:pPr>
    </w:lvl>
    <w:lvl w:ilvl="1" w:tplc="193A3824">
      <w:start w:val="1"/>
      <w:numFmt w:val="decimal"/>
      <w:lvlText w:val="%2."/>
      <w:lvlJc w:val="right"/>
      <w:pPr>
        <w:ind w:left="1000" w:hanging="180"/>
      </w:pPr>
    </w:lvl>
    <w:lvl w:ilvl="2" w:tplc="2D7082EC">
      <w:start w:val="1"/>
      <w:numFmt w:val="decimal"/>
      <w:lvlText w:val="%3."/>
      <w:lvlJc w:val="right"/>
      <w:pPr>
        <w:ind w:left="1500" w:hanging="180"/>
      </w:pPr>
    </w:lvl>
    <w:lvl w:ilvl="3" w:tplc="F5C2A90E">
      <w:start w:val="1"/>
      <w:numFmt w:val="decimal"/>
      <w:lvlText w:val="%4."/>
      <w:lvlJc w:val="right"/>
      <w:pPr>
        <w:ind w:left="2000" w:hanging="180"/>
      </w:pPr>
    </w:lvl>
    <w:lvl w:ilvl="4" w:tplc="0134AA14">
      <w:start w:val="1"/>
      <w:numFmt w:val="decimal"/>
      <w:lvlText w:val="%5."/>
      <w:lvlJc w:val="right"/>
      <w:pPr>
        <w:ind w:left="2500" w:hanging="180"/>
      </w:pPr>
    </w:lvl>
    <w:lvl w:ilvl="5" w:tplc="471A3168">
      <w:start w:val="1"/>
      <w:numFmt w:val="decimal"/>
      <w:lvlText w:val="%6."/>
      <w:lvlJc w:val="right"/>
      <w:pPr>
        <w:ind w:left="3000" w:hanging="180"/>
      </w:pPr>
    </w:lvl>
    <w:lvl w:ilvl="6" w:tplc="A9687DE6">
      <w:start w:val="1"/>
      <w:numFmt w:val="decimal"/>
      <w:lvlText w:val="%7."/>
      <w:lvlJc w:val="right"/>
      <w:pPr>
        <w:ind w:left="3500" w:hanging="180"/>
      </w:pPr>
    </w:lvl>
    <w:lvl w:ilvl="7" w:tplc="787C8D5C">
      <w:start w:val="1"/>
      <w:numFmt w:val="decimal"/>
      <w:lvlText w:val="%8."/>
      <w:lvlJc w:val="right"/>
      <w:pPr>
        <w:ind w:left="4000" w:hanging="180"/>
      </w:pPr>
    </w:lvl>
    <w:lvl w:ilvl="8" w:tplc="A1FE31A8">
      <w:start w:val="1"/>
      <w:numFmt w:val="decimal"/>
      <w:lvlText w:val="%9."/>
      <w:lvlJc w:val="right"/>
      <w:pPr>
        <w:ind w:left="4500" w:hanging="180"/>
      </w:pPr>
    </w:lvl>
  </w:abstractNum>
  <w:abstractNum w:abstractNumId="7" w15:restartNumberingAfterBreak="0">
    <w:nsid w:val="26A96BC6"/>
    <w:multiLevelType w:val="hybridMultilevel"/>
    <w:tmpl w:val="C7602186"/>
    <w:name w:val="CPSNumberingScheme"/>
    <w:lvl w:ilvl="0" w:tplc="8F2ADD24">
      <w:start w:val="1"/>
      <w:numFmt w:val="decimal"/>
      <w:lvlText w:val="%1."/>
      <w:lvlJc w:val="right"/>
      <w:pPr>
        <w:ind w:left="500" w:hanging="180"/>
      </w:pPr>
    </w:lvl>
    <w:lvl w:ilvl="1" w:tplc="411E9CA4">
      <w:start w:val="1"/>
      <w:numFmt w:val="decimal"/>
      <w:lvlText w:val="%2."/>
      <w:lvlJc w:val="right"/>
      <w:pPr>
        <w:ind w:left="1000" w:hanging="180"/>
      </w:pPr>
    </w:lvl>
    <w:lvl w:ilvl="2" w:tplc="A52ADCA2">
      <w:start w:val="1"/>
      <w:numFmt w:val="decimal"/>
      <w:lvlText w:val="%3."/>
      <w:lvlJc w:val="right"/>
      <w:pPr>
        <w:ind w:left="1500" w:hanging="180"/>
      </w:pPr>
    </w:lvl>
    <w:lvl w:ilvl="3" w:tplc="C8A87DDE">
      <w:start w:val="1"/>
      <w:numFmt w:val="decimal"/>
      <w:lvlText w:val="%4."/>
      <w:lvlJc w:val="right"/>
      <w:pPr>
        <w:ind w:left="2000" w:hanging="180"/>
      </w:pPr>
    </w:lvl>
    <w:lvl w:ilvl="4" w:tplc="2DB846E4">
      <w:start w:val="1"/>
      <w:numFmt w:val="decimal"/>
      <w:lvlText w:val="%5."/>
      <w:lvlJc w:val="right"/>
      <w:pPr>
        <w:ind w:left="2500" w:hanging="180"/>
      </w:pPr>
    </w:lvl>
    <w:lvl w:ilvl="5" w:tplc="29B0A83E">
      <w:start w:val="1"/>
      <w:numFmt w:val="decimal"/>
      <w:lvlText w:val="%6."/>
      <w:lvlJc w:val="right"/>
      <w:pPr>
        <w:ind w:left="3000" w:hanging="180"/>
      </w:pPr>
    </w:lvl>
    <w:lvl w:ilvl="6" w:tplc="02189DA4">
      <w:start w:val="1"/>
      <w:numFmt w:val="decimal"/>
      <w:lvlText w:val="%7."/>
      <w:lvlJc w:val="right"/>
      <w:pPr>
        <w:ind w:left="3500" w:hanging="180"/>
      </w:pPr>
    </w:lvl>
    <w:lvl w:ilvl="7" w:tplc="1EF4EF70">
      <w:start w:val="1"/>
      <w:numFmt w:val="decimal"/>
      <w:lvlText w:val="%8."/>
      <w:lvlJc w:val="right"/>
      <w:pPr>
        <w:ind w:left="4000" w:hanging="180"/>
      </w:pPr>
    </w:lvl>
    <w:lvl w:ilvl="8" w:tplc="4F9A16CC">
      <w:start w:val="1"/>
      <w:numFmt w:val="decimal"/>
      <w:lvlText w:val="%9."/>
      <w:lvlJc w:val="right"/>
      <w:pPr>
        <w:ind w:left="4500" w:hanging="180"/>
      </w:pPr>
    </w:lvl>
  </w:abstractNum>
  <w:abstractNum w:abstractNumId="8" w15:restartNumberingAfterBreak="0">
    <w:nsid w:val="2C591840"/>
    <w:multiLevelType w:val="hybridMultilevel"/>
    <w:tmpl w:val="F6441DA2"/>
    <w:name w:val="CPSNumberingScheme"/>
    <w:lvl w:ilvl="0" w:tplc="4362794A">
      <w:start w:val="1"/>
      <w:numFmt w:val="decimal"/>
      <w:lvlText w:val="%1."/>
      <w:lvlJc w:val="right"/>
      <w:pPr>
        <w:ind w:left="500" w:hanging="180"/>
      </w:pPr>
    </w:lvl>
    <w:lvl w:ilvl="1" w:tplc="7B6C55B4">
      <w:start w:val="1"/>
      <w:numFmt w:val="decimal"/>
      <w:lvlText w:val="%2."/>
      <w:lvlJc w:val="right"/>
      <w:pPr>
        <w:ind w:left="1000" w:hanging="180"/>
      </w:pPr>
    </w:lvl>
    <w:lvl w:ilvl="2" w:tplc="2D3E219A">
      <w:start w:val="1"/>
      <w:numFmt w:val="decimal"/>
      <w:lvlText w:val="%3."/>
      <w:lvlJc w:val="right"/>
      <w:pPr>
        <w:ind w:left="1500" w:hanging="180"/>
      </w:pPr>
    </w:lvl>
    <w:lvl w:ilvl="3" w:tplc="86CA5FE0">
      <w:start w:val="1"/>
      <w:numFmt w:val="decimal"/>
      <w:lvlText w:val="%4."/>
      <w:lvlJc w:val="right"/>
      <w:pPr>
        <w:ind w:left="2000" w:hanging="180"/>
      </w:pPr>
    </w:lvl>
    <w:lvl w:ilvl="4" w:tplc="A9DE2998">
      <w:start w:val="1"/>
      <w:numFmt w:val="decimal"/>
      <w:lvlText w:val="%5."/>
      <w:lvlJc w:val="right"/>
      <w:pPr>
        <w:ind w:left="2500" w:hanging="180"/>
      </w:pPr>
    </w:lvl>
    <w:lvl w:ilvl="5" w:tplc="0C6E1C16">
      <w:start w:val="1"/>
      <w:numFmt w:val="decimal"/>
      <w:lvlText w:val="%6."/>
      <w:lvlJc w:val="right"/>
      <w:pPr>
        <w:ind w:left="3000" w:hanging="180"/>
      </w:pPr>
    </w:lvl>
    <w:lvl w:ilvl="6" w:tplc="F5A2DB4E">
      <w:start w:val="1"/>
      <w:numFmt w:val="decimal"/>
      <w:lvlText w:val="%7."/>
      <w:lvlJc w:val="right"/>
      <w:pPr>
        <w:ind w:left="3500" w:hanging="180"/>
      </w:pPr>
    </w:lvl>
    <w:lvl w:ilvl="7" w:tplc="C7CEAA28">
      <w:start w:val="1"/>
      <w:numFmt w:val="decimal"/>
      <w:lvlText w:val="%8."/>
      <w:lvlJc w:val="right"/>
      <w:pPr>
        <w:ind w:left="4000" w:hanging="180"/>
      </w:pPr>
    </w:lvl>
    <w:lvl w:ilvl="8" w:tplc="32149E46">
      <w:start w:val="1"/>
      <w:numFmt w:val="decimal"/>
      <w:lvlText w:val="%9."/>
      <w:lvlJc w:val="right"/>
      <w:pPr>
        <w:ind w:left="4500" w:hanging="180"/>
      </w:pPr>
    </w:lvl>
  </w:abstractNum>
  <w:abstractNum w:abstractNumId="9" w15:restartNumberingAfterBreak="0">
    <w:nsid w:val="2DF010CA"/>
    <w:multiLevelType w:val="hybridMultilevel"/>
    <w:tmpl w:val="7042F23E"/>
    <w:name w:val="CPSNumberingScheme"/>
    <w:lvl w:ilvl="0" w:tplc="D3FE3276">
      <w:start w:val="1"/>
      <w:numFmt w:val="decimal"/>
      <w:lvlText w:val="%1."/>
      <w:lvlJc w:val="right"/>
      <w:pPr>
        <w:ind w:left="500" w:hanging="180"/>
      </w:pPr>
    </w:lvl>
    <w:lvl w:ilvl="1" w:tplc="69E8730A">
      <w:start w:val="1"/>
      <w:numFmt w:val="decimal"/>
      <w:lvlText w:val="%2."/>
      <w:lvlJc w:val="right"/>
      <w:pPr>
        <w:ind w:left="1000" w:hanging="180"/>
      </w:pPr>
    </w:lvl>
    <w:lvl w:ilvl="2" w:tplc="DE3090EC">
      <w:start w:val="1"/>
      <w:numFmt w:val="decimal"/>
      <w:lvlText w:val="%3."/>
      <w:lvlJc w:val="right"/>
      <w:pPr>
        <w:ind w:left="1500" w:hanging="180"/>
      </w:pPr>
    </w:lvl>
    <w:lvl w:ilvl="3" w:tplc="545A84F4">
      <w:start w:val="1"/>
      <w:numFmt w:val="decimal"/>
      <w:lvlText w:val="%4."/>
      <w:lvlJc w:val="right"/>
      <w:pPr>
        <w:ind w:left="2000" w:hanging="180"/>
      </w:pPr>
    </w:lvl>
    <w:lvl w:ilvl="4" w:tplc="E6785138">
      <w:start w:val="1"/>
      <w:numFmt w:val="decimal"/>
      <w:lvlText w:val="%5."/>
      <w:lvlJc w:val="right"/>
      <w:pPr>
        <w:ind w:left="2500" w:hanging="180"/>
      </w:pPr>
    </w:lvl>
    <w:lvl w:ilvl="5" w:tplc="62FE4526">
      <w:start w:val="1"/>
      <w:numFmt w:val="decimal"/>
      <w:lvlText w:val="%6."/>
      <w:lvlJc w:val="right"/>
      <w:pPr>
        <w:ind w:left="3000" w:hanging="180"/>
      </w:pPr>
    </w:lvl>
    <w:lvl w:ilvl="6" w:tplc="4FCEFB48">
      <w:start w:val="1"/>
      <w:numFmt w:val="decimal"/>
      <w:lvlText w:val="%7."/>
      <w:lvlJc w:val="right"/>
      <w:pPr>
        <w:ind w:left="3500" w:hanging="180"/>
      </w:pPr>
    </w:lvl>
    <w:lvl w:ilvl="7" w:tplc="C5C241FC">
      <w:start w:val="1"/>
      <w:numFmt w:val="decimal"/>
      <w:lvlText w:val="%8."/>
      <w:lvlJc w:val="right"/>
      <w:pPr>
        <w:ind w:left="4000" w:hanging="180"/>
      </w:pPr>
    </w:lvl>
    <w:lvl w:ilvl="8" w:tplc="F1FCEEBA">
      <w:start w:val="1"/>
      <w:numFmt w:val="decimal"/>
      <w:lvlText w:val="%9."/>
      <w:lvlJc w:val="right"/>
      <w:pPr>
        <w:ind w:left="4500" w:hanging="180"/>
      </w:pPr>
    </w:lvl>
  </w:abstractNum>
  <w:abstractNum w:abstractNumId="10" w15:restartNumberingAfterBreak="0">
    <w:nsid w:val="30A034EB"/>
    <w:multiLevelType w:val="hybridMultilevel"/>
    <w:tmpl w:val="9F2AAD28"/>
    <w:name w:val="CPSNumberingScheme"/>
    <w:lvl w:ilvl="0" w:tplc="46C09618">
      <w:start w:val="1"/>
      <w:numFmt w:val="decimal"/>
      <w:lvlText w:val="%1."/>
      <w:lvlJc w:val="right"/>
      <w:pPr>
        <w:ind w:left="500" w:hanging="180"/>
      </w:pPr>
    </w:lvl>
    <w:lvl w:ilvl="1" w:tplc="AC003176">
      <w:start w:val="1"/>
      <w:numFmt w:val="decimal"/>
      <w:lvlText w:val="%2."/>
      <w:lvlJc w:val="right"/>
      <w:pPr>
        <w:ind w:left="1000" w:hanging="180"/>
      </w:pPr>
    </w:lvl>
    <w:lvl w:ilvl="2" w:tplc="04326882">
      <w:start w:val="1"/>
      <w:numFmt w:val="decimal"/>
      <w:lvlText w:val="%3."/>
      <w:lvlJc w:val="right"/>
      <w:pPr>
        <w:ind w:left="1500" w:hanging="180"/>
      </w:pPr>
    </w:lvl>
    <w:lvl w:ilvl="3" w:tplc="C196241E">
      <w:start w:val="1"/>
      <w:numFmt w:val="decimal"/>
      <w:lvlText w:val="%4."/>
      <w:lvlJc w:val="right"/>
      <w:pPr>
        <w:ind w:left="2000" w:hanging="180"/>
      </w:pPr>
    </w:lvl>
    <w:lvl w:ilvl="4" w:tplc="FAE83CEC">
      <w:start w:val="1"/>
      <w:numFmt w:val="decimal"/>
      <w:lvlText w:val="%5."/>
      <w:lvlJc w:val="right"/>
      <w:pPr>
        <w:ind w:left="2500" w:hanging="180"/>
      </w:pPr>
    </w:lvl>
    <w:lvl w:ilvl="5" w:tplc="A6A6BF26">
      <w:start w:val="1"/>
      <w:numFmt w:val="decimal"/>
      <w:lvlText w:val="%6."/>
      <w:lvlJc w:val="right"/>
      <w:pPr>
        <w:ind w:left="3000" w:hanging="180"/>
      </w:pPr>
    </w:lvl>
    <w:lvl w:ilvl="6" w:tplc="A3207774">
      <w:start w:val="1"/>
      <w:numFmt w:val="decimal"/>
      <w:lvlText w:val="%7."/>
      <w:lvlJc w:val="right"/>
      <w:pPr>
        <w:ind w:left="3500" w:hanging="180"/>
      </w:pPr>
    </w:lvl>
    <w:lvl w:ilvl="7" w:tplc="20EE91BA">
      <w:start w:val="1"/>
      <w:numFmt w:val="decimal"/>
      <w:lvlText w:val="%8."/>
      <w:lvlJc w:val="right"/>
      <w:pPr>
        <w:ind w:left="4000" w:hanging="180"/>
      </w:pPr>
    </w:lvl>
    <w:lvl w:ilvl="8" w:tplc="305203CE">
      <w:start w:val="1"/>
      <w:numFmt w:val="decimal"/>
      <w:lvlText w:val="%9."/>
      <w:lvlJc w:val="right"/>
      <w:pPr>
        <w:ind w:left="4500" w:hanging="180"/>
      </w:pPr>
    </w:lvl>
  </w:abstractNum>
  <w:abstractNum w:abstractNumId="11" w15:restartNumberingAfterBreak="0">
    <w:nsid w:val="31956AD4"/>
    <w:multiLevelType w:val="hybridMultilevel"/>
    <w:tmpl w:val="1F381EDC"/>
    <w:name w:val="CPSNumberingScheme"/>
    <w:lvl w:ilvl="0" w:tplc="61AC7B5A">
      <w:start w:val="1"/>
      <w:numFmt w:val="decimal"/>
      <w:lvlText w:val="%1."/>
      <w:lvlJc w:val="right"/>
      <w:pPr>
        <w:ind w:left="500" w:hanging="180"/>
      </w:pPr>
    </w:lvl>
    <w:lvl w:ilvl="1" w:tplc="A24E1F08">
      <w:start w:val="1"/>
      <w:numFmt w:val="decimal"/>
      <w:lvlText w:val="%2."/>
      <w:lvlJc w:val="right"/>
      <w:pPr>
        <w:ind w:left="1000" w:hanging="180"/>
      </w:pPr>
    </w:lvl>
    <w:lvl w:ilvl="2" w:tplc="FDD21796">
      <w:start w:val="1"/>
      <w:numFmt w:val="decimal"/>
      <w:lvlText w:val="%3."/>
      <w:lvlJc w:val="right"/>
      <w:pPr>
        <w:ind w:left="1500" w:hanging="180"/>
      </w:pPr>
    </w:lvl>
    <w:lvl w:ilvl="3" w:tplc="56DA70D8">
      <w:start w:val="1"/>
      <w:numFmt w:val="decimal"/>
      <w:lvlText w:val="%4."/>
      <w:lvlJc w:val="right"/>
      <w:pPr>
        <w:ind w:left="2000" w:hanging="180"/>
      </w:pPr>
    </w:lvl>
    <w:lvl w:ilvl="4" w:tplc="7F4AE158">
      <w:start w:val="1"/>
      <w:numFmt w:val="decimal"/>
      <w:lvlText w:val="%5."/>
      <w:lvlJc w:val="right"/>
      <w:pPr>
        <w:ind w:left="2500" w:hanging="180"/>
      </w:pPr>
    </w:lvl>
    <w:lvl w:ilvl="5" w:tplc="A7EEEFD4">
      <w:start w:val="1"/>
      <w:numFmt w:val="decimal"/>
      <w:lvlText w:val="%6."/>
      <w:lvlJc w:val="right"/>
      <w:pPr>
        <w:ind w:left="3000" w:hanging="180"/>
      </w:pPr>
    </w:lvl>
    <w:lvl w:ilvl="6" w:tplc="2110D80C">
      <w:start w:val="1"/>
      <w:numFmt w:val="decimal"/>
      <w:lvlText w:val="%7."/>
      <w:lvlJc w:val="right"/>
      <w:pPr>
        <w:ind w:left="3500" w:hanging="180"/>
      </w:pPr>
    </w:lvl>
    <w:lvl w:ilvl="7" w:tplc="E7D8E9BE">
      <w:start w:val="1"/>
      <w:numFmt w:val="decimal"/>
      <w:lvlText w:val="%8."/>
      <w:lvlJc w:val="right"/>
      <w:pPr>
        <w:ind w:left="4000" w:hanging="180"/>
      </w:pPr>
    </w:lvl>
    <w:lvl w:ilvl="8" w:tplc="AF62B4D6">
      <w:start w:val="1"/>
      <w:numFmt w:val="decimal"/>
      <w:lvlText w:val="%9."/>
      <w:lvlJc w:val="right"/>
      <w:pPr>
        <w:ind w:left="4500" w:hanging="180"/>
      </w:pPr>
    </w:lvl>
  </w:abstractNum>
  <w:abstractNum w:abstractNumId="12" w15:restartNumberingAfterBreak="0">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C22D5"/>
    <w:multiLevelType w:val="hybridMultilevel"/>
    <w:tmpl w:val="E6C49342"/>
    <w:name w:val="CPSNumberingScheme"/>
    <w:lvl w:ilvl="0" w:tplc="F9245EC8">
      <w:start w:val="1"/>
      <w:numFmt w:val="decimal"/>
      <w:lvlText w:val="%1."/>
      <w:lvlJc w:val="right"/>
      <w:pPr>
        <w:ind w:left="500" w:hanging="180"/>
      </w:pPr>
    </w:lvl>
    <w:lvl w:ilvl="1" w:tplc="B48AAF66">
      <w:start w:val="1"/>
      <w:numFmt w:val="decimal"/>
      <w:lvlText w:val="%2."/>
      <w:lvlJc w:val="right"/>
      <w:pPr>
        <w:ind w:left="1000" w:hanging="180"/>
      </w:pPr>
    </w:lvl>
    <w:lvl w:ilvl="2" w:tplc="8C18E28E">
      <w:start w:val="1"/>
      <w:numFmt w:val="decimal"/>
      <w:lvlText w:val="%3."/>
      <w:lvlJc w:val="right"/>
      <w:pPr>
        <w:ind w:left="1500" w:hanging="180"/>
      </w:pPr>
    </w:lvl>
    <w:lvl w:ilvl="3" w:tplc="1FCAF24E">
      <w:start w:val="1"/>
      <w:numFmt w:val="decimal"/>
      <w:lvlText w:val="%4."/>
      <w:lvlJc w:val="right"/>
      <w:pPr>
        <w:ind w:left="2000" w:hanging="180"/>
      </w:pPr>
    </w:lvl>
    <w:lvl w:ilvl="4" w:tplc="3A88DF26">
      <w:start w:val="1"/>
      <w:numFmt w:val="decimal"/>
      <w:lvlText w:val="%5."/>
      <w:lvlJc w:val="right"/>
      <w:pPr>
        <w:ind w:left="2500" w:hanging="180"/>
      </w:pPr>
    </w:lvl>
    <w:lvl w:ilvl="5" w:tplc="38CC5422">
      <w:start w:val="1"/>
      <w:numFmt w:val="decimal"/>
      <w:lvlText w:val="%6."/>
      <w:lvlJc w:val="right"/>
      <w:pPr>
        <w:ind w:left="3000" w:hanging="180"/>
      </w:pPr>
    </w:lvl>
    <w:lvl w:ilvl="6" w:tplc="F0EAC0F6">
      <w:start w:val="1"/>
      <w:numFmt w:val="decimal"/>
      <w:lvlText w:val="%7."/>
      <w:lvlJc w:val="right"/>
      <w:pPr>
        <w:ind w:left="3500" w:hanging="180"/>
      </w:pPr>
    </w:lvl>
    <w:lvl w:ilvl="7" w:tplc="1A1AD5B0">
      <w:start w:val="1"/>
      <w:numFmt w:val="decimal"/>
      <w:lvlText w:val="%8."/>
      <w:lvlJc w:val="right"/>
      <w:pPr>
        <w:ind w:left="4000" w:hanging="180"/>
      </w:pPr>
    </w:lvl>
    <w:lvl w:ilvl="8" w:tplc="6B5C2D92">
      <w:start w:val="1"/>
      <w:numFmt w:val="decimal"/>
      <w:lvlText w:val="%9."/>
      <w:lvlJc w:val="right"/>
      <w:pPr>
        <w:ind w:left="4500" w:hanging="180"/>
      </w:pPr>
    </w:lvl>
  </w:abstractNum>
  <w:abstractNum w:abstractNumId="14" w15:restartNumberingAfterBreak="0">
    <w:nsid w:val="3B9E6C26"/>
    <w:multiLevelType w:val="hybridMultilevel"/>
    <w:tmpl w:val="818C5FFC"/>
    <w:name w:val="CPSNumberingScheme"/>
    <w:lvl w:ilvl="0" w:tplc="AE209988">
      <w:start w:val="1"/>
      <w:numFmt w:val="decimal"/>
      <w:lvlText w:val="%1."/>
      <w:lvlJc w:val="right"/>
      <w:pPr>
        <w:ind w:left="500" w:hanging="180"/>
      </w:pPr>
    </w:lvl>
    <w:lvl w:ilvl="1" w:tplc="90F232F8">
      <w:start w:val="1"/>
      <w:numFmt w:val="decimal"/>
      <w:lvlText w:val="%2."/>
      <w:lvlJc w:val="right"/>
      <w:pPr>
        <w:ind w:left="1000" w:hanging="180"/>
      </w:pPr>
    </w:lvl>
    <w:lvl w:ilvl="2" w:tplc="9BEC1800">
      <w:start w:val="1"/>
      <w:numFmt w:val="decimal"/>
      <w:lvlText w:val="%3."/>
      <w:lvlJc w:val="right"/>
      <w:pPr>
        <w:ind w:left="1500" w:hanging="180"/>
      </w:pPr>
    </w:lvl>
    <w:lvl w:ilvl="3" w:tplc="01F08BB4">
      <w:start w:val="1"/>
      <w:numFmt w:val="decimal"/>
      <w:lvlText w:val="%4."/>
      <w:lvlJc w:val="right"/>
      <w:pPr>
        <w:ind w:left="2000" w:hanging="180"/>
      </w:pPr>
    </w:lvl>
    <w:lvl w:ilvl="4" w:tplc="07046B26">
      <w:start w:val="1"/>
      <w:numFmt w:val="decimal"/>
      <w:lvlText w:val="%5."/>
      <w:lvlJc w:val="right"/>
      <w:pPr>
        <w:ind w:left="2500" w:hanging="180"/>
      </w:pPr>
    </w:lvl>
    <w:lvl w:ilvl="5" w:tplc="F942E2C6">
      <w:start w:val="1"/>
      <w:numFmt w:val="decimal"/>
      <w:lvlText w:val="%6."/>
      <w:lvlJc w:val="right"/>
      <w:pPr>
        <w:ind w:left="3000" w:hanging="180"/>
      </w:pPr>
    </w:lvl>
    <w:lvl w:ilvl="6" w:tplc="6A84C636">
      <w:start w:val="1"/>
      <w:numFmt w:val="decimal"/>
      <w:lvlText w:val="%7."/>
      <w:lvlJc w:val="right"/>
      <w:pPr>
        <w:ind w:left="3500" w:hanging="180"/>
      </w:pPr>
    </w:lvl>
    <w:lvl w:ilvl="7" w:tplc="AF7CD6A2">
      <w:start w:val="1"/>
      <w:numFmt w:val="decimal"/>
      <w:lvlText w:val="%8."/>
      <w:lvlJc w:val="right"/>
      <w:pPr>
        <w:ind w:left="4000" w:hanging="180"/>
      </w:pPr>
    </w:lvl>
    <w:lvl w:ilvl="8" w:tplc="BF9419B0">
      <w:start w:val="1"/>
      <w:numFmt w:val="decimal"/>
      <w:lvlText w:val="%9."/>
      <w:lvlJc w:val="right"/>
      <w:pPr>
        <w:ind w:left="4500" w:hanging="180"/>
      </w:pPr>
    </w:lvl>
  </w:abstractNum>
  <w:abstractNum w:abstractNumId="15" w15:restartNumberingAfterBreak="0">
    <w:nsid w:val="3BBA1159"/>
    <w:multiLevelType w:val="hybridMultilevel"/>
    <w:tmpl w:val="78F83C2C"/>
    <w:name w:val="CPSNumberingScheme"/>
    <w:lvl w:ilvl="0" w:tplc="F54621F2">
      <w:start w:val="1"/>
      <w:numFmt w:val="decimal"/>
      <w:lvlText w:val="%1."/>
      <w:lvlJc w:val="right"/>
      <w:pPr>
        <w:ind w:left="500" w:hanging="180"/>
      </w:pPr>
    </w:lvl>
    <w:lvl w:ilvl="1" w:tplc="AD6A5740">
      <w:start w:val="1"/>
      <w:numFmt w:val="decimal"/>
      <w:lvlText w:val="%2."/>
      <w:lvlJc w:val="right"/>
      <w:pPr>
        <w:ind w:left="1000" w:hanging="180"/>
      </w:pPr>
    </w:lvl>
    <w:lvl w:ilvl="2" w:tplc="C6040508">
      <w:start w:val="1"/>
      <w:numFmt w:val="decimal"/>
      <w:lvlText w:val="%3."/>
      <w:lvlJc w:val="right"/>
      <w:pPr>
        <w:ind w:left="1500" w:hanging="180"/>
      </w:pPr>
    </w:lvl>
    <w:lvl w:ilvl="3" w:tplc="7728948A">
      <w:start w:val="1"/>
      <w:numFmt w:val="decimal"/>
      <w:lvlText w:val="%4."/>
      <w:lvlJc w:val="right"/>
      <w:pPr>
        <w:ind w:left="2000" w:hanging="180"/>
      </w:pPr>
    </w:lvl>
    <w:lvl w:ilvl="4" w:tplc="EE98F15C">
      <w:start w:val="1"/>
      <w:numFmt w:val="decimal"/>
      <w:lvlText w:val="%5."/>
      <w:lvlJc w:val="right"/>
      <w:pPr>
        <w:ind w:left="2500" w:hanging="180"/>
      </w:pPr>
    </w:lvl>
    <w:lvl w:ilvl="5" w:tplc="F3362064">
      <w:start w:val="1"/>
      <w:numFmt w:val="decimal"/>
      <w:lvlText w:val="%6."/>
      <w:lvlJc w:val="right"/>
      <w:pPr>
        <w:ind w:left="3000" w:hanging="180"/>
      </w:pPr>
    </w:lvl>
    <w:lvl w:ilvl="6" w:tplc="F7EA6F78">
      <w:start w:val="1"/>
      <w:numFmt w:val="decimal"/>
      <w:lvlText w:val="%7."/>
      <w:lvlJc w:val="right"/>
      <w:pPr>
        <w:ind w:left="3500" w:hanging="180"/>
      </w:pPr>
    </w:lvl>
    <w:lvl w:ilvl="7" w:tplc="EA82FD66">
      <w:start w:val="1"/>
      <w:numFmt w:val="decimal"/>
      <w:lvlText w:val="%8."/>
      <w:lvlJc w:val="right"/>
      <w:pPr>
        <w:ind w:left="4000" w:hanging="180"/>
      </w:pPr>
    </w:lvl>
    <w:lvl w:ilvl="8" w:tplc="F05EC9EE">
      <w:start w:val="1"/>
      <w:numFmt w:val="decimal"/>
      <w:lvlText w:val="%9."/>
      <w:lvlJc w:val="right"/>
      <w:pPr>
        <w:ind w:left="4500" w:hanging="180"/>
      </w:pPr>
    </w:lvl>
  </w:abstractNum>
  <w:abstractNum w:abstractNumId="16" w15:restartNumberingAfterBreak="0">
    <w:nsid w:val="452D1F61"/>
    <w:multiLevelType w:val="hybridMultilevel"/>
    <w:tmpl w:val="1EA88D2C"/>
    <w:name w:val="CPSNumberingScheme"/>
    <w:lvl w:ilvl="0" w:tplc="5434B986">
      <w:start w:val="1"/>
      <w:numFmt w:val="decimal"/>
      <w:lvlText w:val="%1."/>
      <w:lvlJc w:val="right"/>
      <w:pPr>
        <w:ind w:left="500" w:hanging="180"/>
      </w:pPr>
    </w:lvl>
    <w:lvl w:ilvl="1" w:tplc="E028E930">
      <w:start w:val="1"/>
      <w:numFmt w:val="decimal"/>
      <w:lvlText w:val="%2."/>
      <w:lvlJc w:val="right"/>
      <w:pPr>
        <w:ind w:left="1000" w:hanging="180"/>
      </w:pPr>
    </w:lvl>
    <w:lvl w:ilvl="2" w:tplc="8F869B50">
      <w:start w:val="1"/>
      <w:numFmt w:val="decimal"/>
      <w:lvlText w:val="%3."/>
      <w:lvlJc w:val="right"/>
      <w:pPr>
        <w:ind w:left="1500" w:hanging="180"/>
      </w:pPr>
    </w:lvl>
    <w:lvl w:ilvl="3" w:tplc="CCB2640C">
      <w:start w:val="1"/>
      <w:numFmt w:val="decimal"/>
      <w:lvlText w:val="%4."/>
      <w:lvlJc w:val="right"/>
      <w:pPr>
        <w:ind w:left="2000" w:hanging="180"/>
      </w:pPr>
    </w:lvl>
    <w:lvl w:ilvl="4" w:tplc="A06CCA0C">
      <w:start w:val="1"/>
      <w:numFmt w:val="decimal"/>
      <w:lvlText w:val="%5."/>
      <w:lvlJc w:val="right"/>
      <w:pPr>
        <w:ind w:left="2500" w:hanging="180"/>
      </w:pPr>
    </w:lvl>
    <w:lvl w:ilvl="5" w:tplc="D3448036">
      <w:start w:val="1"/>
      <w:numFmt w:val="decimal"/>
      <w:lvlText w:val="%6."/>
      <w:lvlJc w:val="right"/>
      <w:pPr>
        <w:ind w:left="3000" w:hanging="180"/>
      </w:pPr>
    </w:lvl>
    <w:lvl w:ilvl="6" w:tplc="370418B4">
      <w:start w:val="1"/>
      <w:numFmt w:val="decimal"/>
      <w:lvlText w:val="%7."/>
      <w:lvlJc w:val="right"/>
      <w:pPr>
        <w:ind w:left="3500" w:hanging="180"/>
      </w:pPr>
    </w:lvl>
    <w:lvl w:ilvl="7" w:tplc="222E8132">
      <w:start w:val="1"/>
      <w:numFmt w:val="decimal"/>
      <w:lvlText w:val="%8."/>
      <w:lvlJc w:val="right"/>
      <w:pPr>
        <w:ind w:left="4000" w:hanging="180"/>
      </w:pPr>
    </w:lvl>
    <w:lvl w:ilvl="8" w:tplc="F3A47FB4">
      <w:start w:val="1"/>
      <w:numFmt w:val="decimal"/>
      <w:lvlText w:val="%9."/>
      <w:lvlJc w:val="right"/>
      <w:pPr>
        <w:ind w:left="4500" w:hanging="180"/>
      </w:pPr>
    </w:lvl>
  </w:abstractNum>
  <w:abstractNum w:abstractNumId="17" w15:restartNumberingAfterBreak="0">
    <w:nsid w:val="464B60A4"/>
    <w:multiLevelType w:val="hybridMultilevel"/>
    <w:tmpl w:val="64544904"/>
    <w:name w:val="CPSNumberingScheme"/>
    <w:lvl w:ilvl="0" w:tplc="A6FEE1F8">
      <w:start w:val="1"/>
      <w:numFmt w:val="decimal"/>
      <w:lvlText w:val="%1."/>
      <w:lvlJc w:val="right"/>
      <w:pPr>
        <w:ind w:left="500" w:hanging="180"/>
      </w:pPr>
    </w:lvl>
    <w:lvl w:ilvl="1" w:tplc="9CE6BBD0">
      <w:start w:val="1"/>
      <w:numFmt w:val="decimal"/>
      <w:lvlText w:val="%2."/>
      <w:lvlJc w:val="right"/>
      <w:pPr>
        <w:ind w:left="1000" w:hanging="180"/>
      </w:pPr>
    </w:lvl>
    <w:lvl w:ilvl="2" w:tplc="C676374A">
      <w:start w:val="1"/>
      <w:numFmt w:val="decimal"/>
      <w:lvlText w:val="%3."/>
      <w:lvlJc w:val="right"/>
      <w:pPr>
        <w:ind w:left="1500" w:hanging="180"/>
      </w:pPr>
    </w:lvl>
    <w:lvl w:ilvl="3" w:tplc="A20422E4">
      <w:start w:val="1"/>
      <w:numFmt w:val="decimal"/>
      <w:lvlText w:val="%4."/>
      <w:lvlJc w:val="right"/>
      <w:pPr>
        <w:ind w:left="2000" w:hanging="180"/>
      </w:pPr>
    </w:lvl>
    <w:lvl w:ilvl="4" w:tplc="EBE425D2">
      <w:start w:val="1"/>
      <w:numFmt w:val="decimal"/>
      <w:lvlText w:val="%5."/>
      <w:lvlJc w:val="right"/>
      <w:pPr>
        <w:ind w:left="2500" w:hanging="180"/>
      </w:pPr>
    </w:lvl>
    <w:lvl w:ilvl="5" w:tplc="3CC822BA">
      <w:start w:val="1"/>
      <w:numFmt w:val="decimal"/>
      <w:lvlText w:val="%6."/>
      <w:lvlJc w:val="right"/>
      <w:pPr>
        <w:ind w:left="3000" w:hanging="180"/>
      </w:pPr>
    </w:lvl>
    <w:lvl w:ilvl="6" w:tplc="BDDE601A">
      <w:start w:val="1"/>
      <w:numFmt w:val="decimal"/>
      <w:lvlText w:val="%7."/>
      <w:lvlJc w:val="right"/>
      <w:pPr>
        <w:ind w:left="3500" w:hanging="180"/>
      </w:pPr>
    </w:lvl>
    <w:lvl w:ilvl="7" w:tplc="49A6BB66">
      <w:start w:val="1"/>
      <w:numFmt w:val="decimal"/>
      <w:lvlText w:val="%8."/>
      <w:lvlJc w:val="right"/>
      <w:pPr>
        <w:ind w:left="4000" w:hanging="180"/>
      </w:pPr>
    </w:lvl>
    <w:lvl w:ilvl="8" w:tplc="C3EA8646">
      <w:start w:val="1"/>
      <w:numFmt w:val="decimal"/>
      <w:lvlText w:val="%9."/>
      <w:lvlJc w:val="right"/>
      <w:pPr>
        <w:ind w:left="4500" w:hanging="180"/>
      </w:pPr>
    </w:lvl>
  </w:abstractNum>
  <w:abstractNum w:abstractNumId="18" w15:restartNumberingAfterBreak="0">
    <w:nsid w:val="49EF1D3E"/>
    <w:multiLevelType w:val="hybridMultilevel"/>
    <w:tmpl w:val="0DCE0A6C"/>
    <w:name w:val="CPSNumberingScheme"/>
    <w:lvl w:ilvl="0" w:tplc="544EBEDE">
      <w:start w:val="1"/>
      <w:numFmt w:val="decimal"/>
      <w:lvlText w:val="%1."/>
      <w:lvlJc w:val="right"/>
      <w:pPr>
        <w:ind w:left="500" w:hanging="180"/>
      </w:pPr>
    </w:lvl>
    <w:lvl w:ilvl="1" w:tplc="DD64E0E0">
      <w:start w:val="1"/>
      <w:numFmt w:val="decimal"/>
      <w:lvlText w:val="%2."/>
      <w:lvlJc w:val="right"/>
      <w:pPr>
        <w:ind w:left="1000" w:hanging="180"/>
      </w:pPr>
    </w:lvl>
    <w:lvl w:ilvl="2" w:tplc="85B4BF50">
      <w:start w:val="1"/>
      <w:numFmt w:val="decimal"/>
      <w:lvlText w:val="%3."/>
      <w:lvlJc w:val="right"/>
      <w:pPr>
        <w:ind w:left="1500" w:hanging="180"/>
      </w:pPr>
    </w:lvl>
    <w:lvl w:ilvl="3" w:tplc="06F8A8CE">
      <w:start w:val="1"/>
      <w:numFmt w:val="decimal"/>
      <w:lvlText w:val="%4."/>
      <w:lvlJc w:val="right"/>
      <w:pPr>
        <w:ind w:left="2000" w:hanging="180"/>
      </w:pPr>
    </w:lvl>
    <w:lvl w:ilvl="4" w:tplc="691A8650">
      <w:start w:val="1"/>
      <w:numFmt w:val="decimal"/>
      <w:lvlText w:val="%5."/>
      <w:lvlJc w:val="right"/>
      <w:pPr>
        <w:ind w:left="2500" w:hanging="180"/>
      </w:pPr>
    </w:lvl>
    <w:lvl w:ilvl="5" w:tplc="161A55AC">
      <w:start w:val="1"/>
      <w:numFmt w:val="decimal"/>
      <w:lvlText w:val="%6."/>
      <w:lvlJc w:val="right"/>
      <w:pPr>
        <w:ind w:left="3000" w:hanging="180"/>
      </w:pPr>
    </w:lvl>
    <w:lvl w:ilvl="6" w:tplc="2D72E260">
      <w:start w:val="1"/>
      <w:numFmt w:val="decimal"/>
      <w:lvlText w:val="%7."/>
      <w:lvlJc w:val="right"/>
      <w:pPr>
        <w:ind w:left="3500" w:hanging="180"/>
      </w:pPr>
    </w:lvl>
    <w:lvl w:ilvl="7" w:tplc="FD8C8D5E">
      <w:start w:val="1"/>
      <w:numFmt w:val="decimal"/>
      <w:lvlText w:val="%8."/>
      <w:lvlJc w:val="right"/>
      <w:pPr>
        <w:ind w:left="4000" w:hanging="180"/>
      </w:pPr>
    </w:lvl>
    <w:lvl w:ilvl="8" w:tplc="D3445716">
      <w:start w:val="1"/>
      <w:numFmt w:val="decimal"/>
      <w:lvlText w:val="%9."/>
      <w:lvlJc w:val="right"/>
      <w:pPr>
        <w:ind w:left="4500" w:hanging="180"/>
      </w:pPr>
    </w:lvl>
  </w:abstractNum>
  <w:abstractNum w:abstractNumId="19" w15:restartNumberingAfterBreak="0">
    <w:nsid w:val="4AE440A3"/>
    <w:multiLevelType w:val="hybridMultilevel"/>
    <w:tmpl w:val="CC40426C"/>
    <w:name w:val="CPSNumberingScheme"/>
    <w:lvl w:ilvl="0" w:tplc="AA3404AA">
      <w:start w:val="1"/>
      <w:numFmt w:val="decimal"/>
      <w:lvlText w:val="%1."/>
      <w:lvlJc w:val="right"/>
      <w:pPr>
        <w:ind w:left="500" w:hanging="180"/>
      </w:pPr>
    </w:lvl>
    <w:lvl w:ilvl="1" w:tplc="4DDA101E">
      <w:start w:val="1"/>
      <w:numFmt w:val="decimal"/>
      <w:lvlText w:val="%2."/>
      <w:lvlJc w:val="right"/>
      <w:pPr>
        <w:ind w:left="1000" w:hanging="180"/>
      </w:pPr>
    </w:lvl>
    <w:lvl w:ilvl="2" w:tplc="AF5E21D4">
      <w:start w:val="1"/>
      <w:numFmt w:val="decimal"/>
      <w:lvlText w:val="%3."/>
      <w:lvlJc w:val="right"/>
      <w:pPr>
        <w:ind w:left="1500" w:hanging="180"/>
      </w:pPr>
    </w:lvl>
    <w:lvl w:ilvl="3" w:tplc="34EA5FE4">
      <w:start w:val="1"/>
      <w:numFmt w:val="decimal"/>
      <w:lvlText w:val="%4."/>
      <w:lvlJc w:val="right"/>
      <w:pPr>
        <w:ind w:left="2000" w:hanging="180"/>
      </w:pPr>
    </w:lvl>
    <w:lvl w:ilvl="4" w:tplc="424836F0">
      <w:start w:val="1"/>
      <w:numFmt w:val="decimal"/>
      <w:lvlText w:val="%5."/>
      <w:lvlJc w:val="right"/>
      <w:pPr>
        <w:ind w:left="2500" w:hanging="180"/>
      </w:pPr>
    </w:lvl>
    <w:lvl w:ilvl="5" w:tplc="FD542D06">
      <w:start w:val="1"/>
      <w:numFmt w:val="decimal"/>
      <w:lvlText w:val="%6."/>
      <w:lvlJc w:val="right"/>
      <w:pPr>
        <w:ind w:left="3000" w:hanging="180"/>
      </w:pPr>
    </w:lvl>
    <w:lvl w:ilvl="6" w:tplc="BC5E0D62">
      <w:start w:val="1"/>
      <w:numFmt w:val="decimal"/>
      <w:lvlText w:val="%7."/>
      <w:lvlJc w:val="right"/>
      <w:pPr>
        <w:ind w:left="3500" w:hanging="180"/>
      </w:pPr>
    </w:lvl>
    <w:lvl w:ilvl="7" w:tplc="D04A651E">
      <w:start w:val="1"/>
      <w:numFmt w:val="decimal"/>
      <w:lvlText w:val="%8."/>
      <w:lvlJc w:val="right"/>
      <w:pPr>
        <w:ind w:left="4000" w:hanging="180"/>
      </w:pPr>
    </w:lvl>
    <w:lvl w:ilvl="8" w:tplc="ABAA3E46">
      <w:start w:val="1"/>
      <w:numFmt w:val="decimal"/>
      <w:lvlText w:val="%9."/>
      <w:lvlJc w:val="right"/>
      <w:pPr>
        <w:ind w:left="4500" w:hanging="180"/>
      </w:pPr>
    </w:lvl>
  </w:abstractNum>
  <w:abstractNum w:abstractNumId="20" w15:restartNumberingAfterBreak="0">
    <w:nsid w:val="4CB05452"/>
    <w:multiLevelType w:val="hybridMultilevel"/>
    <w:tmpl w:val="3AFE6CCE"/>
    <w:name w:val="CPSNumberingScheme"/>
    <w:lvl w:ilvl="0" w:tplc="896C9C98">
      <w:start w:val="1"/>
      <w:numFmt w:val="decimal"/>
      <w:lvlText w:val="%1."/>
      <w:lvlJc w:val="right"/>
      <w:pPr>
        <w:ind w:left="500" w:hanging="180"/>
      </w:pPr>
    </w:lvl>
    <w:lvl w:ilvl="1" w:tplc="EA3E103A">
      <w:start w:val="1"/>
      <w:numFmt w:val="decimal"/>
      <w:lvlText w:val="%2."/>
      <w:lvlJc w:val="right"/>
      <w:pPr>
        <w:ind w:left="1000" w:hanging="180"/>
      </w:pPr>
    </w:lvl>
    <w:lvl w:ilvl="2" w:tplc="FCB2E28C">
      <w:start w:val="1"/>
      <w:numFmt w:val="decimal"/>
      <w:lvlText w:val="%3."/>
      <w:lvlJc w:val="right"/>
      <w:pPr>
        <w:ind w:left="1500" w:hanging="180"/>
      </w:pPr>
    </w:lvl>
    <w:lvl w:ilvl="3" w:tplc="B482911A">
      <w:start w:val="1"/>
      <w:numFmt w:val="decimal"/>
      <w:lvlText w:val="%4."/>
      <w:lvlJc w:val="right"/>
      <w:pPr>
        <w:ind w:left="2000" w:hanging="180"/>
      </w:pPr>
    </w:lvl>
    <w:lvl w:ilvl="4" w:tplc="1F64AC50">
      <w:start w:val="1"/>
      <w:numFmt w:val="decimal"/>
      <w:lvlText w:val="%5."/>
      <w:lvlJc w:val="right"/>
      <w:pPr>
        <w:ind w:left="2500" w:hanging="180"/>
      </w:pPr>
    </w:lvl>
    <w:lvl w:ilvl="5" w:tplc="EF8A4122">
      <w:start w:val="1"/>
      <w:numFmt w:val="decimal"/>
      <w:lvlText w:val="%6."/>
      <w:lvlJc w:val="right"/>
      <w:pPr>
        <w:ind w:left="3000" w:hanging="180"/>
      </w:pPr>
    </w:lvl>
    <w:lvl w:ilvl="6" w:tplc="1FF42792">
      <w:start w:val="1"/>
      <w:numFmt w:val="decimal"/>
      <w:lvlText w:val="%7."/>
      <w:lvlJc w:val="right"/>
      <w:pPr>
        <w:ind w:left="3500" w:hanging="180"/>
      </w:pPr>
    </w:lvl>
    <w:lvl w:ilvl="7" w:tplc="55924110">
      <w:start w:val="1"/>
      <w:numFmt w:val="decimal"/>
      <w:lvlText w:val="%8."/>
      <w:lvlJc w:val="right"/>
      <w:pPr>
        <w:ind w:left="4000" w:hanging="180"/>
      </w:pPr>
    </w:lvl>
    <w:lvl w:ilvl="8" w:tplc="92D22D62">
      <w:start w:val="1"/>
      <w:numFmt w:val="decimal"/>
      <w:lvlText w:val="%9."/>
      <w:lvlJc w:val="right"/>
      <w:pPr>
        <w:ind w:left="4500" w:hanging="180"/>
      </w:pPr>
    </w:lvl>
  </w:abstractNum>
  <w:abstractNum w:abstractNumId="21" w15:restartNumberingAfterBreak="0">
    <w:nsid w:val="4E43206A"/>
    <w:multiLevelType w:val="hybridMultilevel"/>
    <w:tmpl w:val="5E22BE98"/>
    <w:name w:val="CPSNumberingScheme"/>
    <w:lvl w:ilvl="0" w:tplc="65D28B9C">
      <w:start w:val="1"/>
      <w:numFmt w:val="decimal"/>
      <w:lvlText w:val="%1."/>
      <w:lvlJc w:val="right"/>
      <w:pPr>
        <w:ind w:left="500" w:hanging="180"/>
      </w:pPr>
    </w:lvl>
    <w:lvl w:ilvl="1" w:tplc="7722CF94">
      <w:start w:val="1"/>
      <w:numFmt w:val="decimal"/>
      <w:lvlText w:val="%2."/>
      <w:lvlJc w:val="right"/>
      <w:pPr>
        <w:ind w:left="1000" w:hanging="180"/>
      </w:pPr>
    </w:lvl>
    <w:lvl w:ilvl="2" w:tplc="04B2A230">
      <w:start w:val="1"/>
      <w:numFmt w:val="decimal"/>
      <w:lvlText w:val="%3."/>
      <w:lvlJc w:val="right"/>
      <w:pPr>
        <w:ind w:left="1500" w:hanging="180"/>
      </w:pPr>
    </w:lvl>
    <w:lvl w:ilvl="3" w:tplc="AAF06AA6">
      <w:start w:val="1"/>
      <w:numFmt w:val="decimal"/>
      <w:lvlText w:val="%4."/>
      <w:lvlJc w:val="right"/>
      <w:pPr>
        <w:ind w:left="2000" w:hanging="180"/>
      </w:pPr>
    </w:lvl>
    <w:lvl w:ilvl="4" w:tplc="D3D8A00A">
      <w:start w:val="1"/>
      <w:numFmt w:val="decimal"/>
      <w:lvlText w:val="%5."/>
      <w:lvlJc w:val="right"/>
      <w:pPr>
        <w:ind w:left="2500" w:hanging="180"/>
      </w:pPr>
    </w:lvl>
    <w:lvl w:ilvl="5" w:tplc="2A880BCC">
      <w:start w:val="1"/>
      <w:numFmt w:val="decimal"/>
      <w:lvlText w:val="%6."/>
      <w:lvlJc w:val="right"/>
      <w:pPr>
        <w:ind w:left="3000" w:hanging="180"/>
      </w:pPr>
    </w:lvl>
    <w:lvl w:ilvl="6" w:tplc="E626F72A">
      <w:start w:val="1"/>
      <w:numFmt w:val="decimal"/>
      <w:lvlText w:val="%7."/>
      <w:lvlJc w:val="right"/>
      <w:pPr>
        <w:ind w:left="3500" w:hanging="180"/>
      </w:pPr>
    </w:lvl>
    <w:lvl w:ilvl="7" w:tplc="A6E2CBA0">
      <w:start w:val="1"/>
      <w:numFmt w:val="decimal"/>
      <w:lvlText w:val="%8."/>
      <w:lvlJc w:val="right"/>
      <w:pPr>
        <w:ind w:left="4000" w:hanging="180"/>
      </w:pPr>
    </w:lvl>
    <w:lvl w:ilvl="8" w:tplc="65C8354C">
      <w:start w:val="1"/>
      <w:numFmt w:val="decimal"/>
      <w:lvlText w:val="%9."/>
      <w:lvlJc w:val="right"/>
      <w:pPr>
        <w:ind w:left="4500" w:hanging="180"/>
      </w:pPr>
    </w:lvl>
  </w:abstractNum>
  <w:abstractNum w:abstractNumId="22" w15:restartNumberingAfterBreak="0">
    <w:nsid w:val="519A401D"/>
    <w:multiLevelType w:val="hybridMultilevel"/>
    <w:tmpl w:val="C2389206"/>
    <w:name w:val="CPSNumberingScheme"/>
    <w:lvl w:ilvl="0" w:tplc="62C47A5E">
      <w:start w:val="1"/>
      <w:numFmt w:val="decimal"/>
      <w:lvlText w:val="%1."/>
      <w:lvlJc w:val="right"/>
      <w:pPr>
        <w:ind w:left="500" w:hanging="180"/>
      </w:pPr>
    </w:lvl>
    <w:lvl w:ilvl="1" w:tplc="D9342670">
      <w:start w:val="1"/>
      <w:numFmt w:val="decimal"/>
      <w:lvlText w:val="%2."/>
      <w:lvlJc w:val="right"/>
      <w:pPr>
        <w:ind w:left="1000" w:hanging="180"/>
      </w:pPr>
    </w:lvl>
    <w:lvl w:ilvl="2" w:tplc="01EADB42">
      <w:start w:val="1"/>
      <w:numFmt w:val="decimal"/>
      <w:lvlText w:val="%3."/>
      <w:lvlJc w:val="right"/>
      <w:pPr>
        <w:ind w:left="1500" w:hanging="180"/>
      </w:pPr>
    </w:lvl>
    <w:lvl w:ilvl="3" w:tplc="242295C0">
      <w:start w:val="1"/>
      <w:numFmt w:val="decimal"/>
      <w:lvlText w:val="%4."/>
      <w:lvlJc w:val="right"/>
      <w:pPr>
        <w:ind w:left="2000" w:hanging="180"/>
      </w:pPr>
    </w:lvl>
    <w:lvl w:ilvl="4" w:tplc="71647EC8">
      <w:start w:val="1"/>
      <w:numFmt w:val="decimal"/>
      <w:lvlText w:val="%5."/>
      <w:lvlJc w:val="right"/>
      <w:pPr>
        <w:ind w:left="2500" w:hanging="180"/>
      </w:pPr>
    </w:lvl>
    <w:lvl w:ilvl="5" w:tplc="3376ADA6">
      <w:start w:val="1"/>
      <w:numFmt w:val="decimal"/>
      <w:lvlText w:val="%6."/>
      <w:lvlJc w:val="right"/>
      <w:pPr>
        <w:ind w:left="3000" w:hanging="180"/>
      </w:pPr>
    </w:lvl>
    <w:lvl w:ilvl="6" w:tplc="6FAA3F14">
      <w:start w:val="1"/>
      <w:numFmt w:val="decimal"/>
      <w:lvlText w:val="%7."/>
      <w:lvlJc w:val="right"/>
      <w:pPr>
        <w:ind w:left="3500" w:hanging="180"/>
      </w:pPr>
    </w:lvl>
    <w:lvl w:ilvl="7" w:tplc="4F747D3C">
      <w:start w:val="1"/>
      <w:numFmt w:val="decimal"/>
      <w:lvlText w:val="%8."/>
      <w:lvlJc w:val="right"/>
      <w:pPr>
        <w:ind w:left="4000" w:hanging="180"/>
      </w:pPr>
    </w:lvl>
    <w:lvl w:ilvl="8" w:tplc="06042BE6">
      <w:start w:val="1"/>
      <w:numFmt w:val="decimal"/>
      <w:lvlText w:val="%9."/>
      <w:lvlJc w:val="right"/>
      <w:pPr>
        <w:ind w:left="4500" w:hanging="180"/>
      </w:pPr>
    </w:lvl>
  </w:abstractNum>
  <w:abstractNum w:abstractNumId="23" w15:restartNumberingAfterBreak="0">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7C7AAD"/>
    <w:multiLevelType w:val="hybridMultilevel"/>
    <w:tmpl w:val="48A6968C"/>
    <w:name w:val="CPSNumberingScheme"/>
    <w:lvl w:ilvl="0" w:tplc="0498BE98">
      <w:start w:val="1"/>
      <w:numFmt w:val="decimal"/>
      <w:lvlText w:val="%1."/>
      <w:lvlJc w:val="right"/>
      <w:pPr>
        <w:ind w:left="500" w:hanging="180"/>
      </w:pPr>
    </w:lvl>
    <w:lvl w:ilvl="1" w:tplc="45AA1178">
      <w:start w:val="1"/>
      <w:numFmt w:val="decimal"/>
      <w:lvlText w:val="%2."/>
      <w:lvlJc w:val="right"/>
      <w:pPr>
        <w:ind w:left="1000" w:hanging="180"/>
      </w:pPr>
    </w:lvl>
    <w:lvl w:ilvl="2" w:tplc="674C3C4E">
      <w:start w:val="1"/>
      <w:numFmt w:val="decimal"/>
      <w:lvlText w:val="%3."/>
      <w:lvlJc w:val="right"/>
      <w:pPr>
        <w:ind w:left="1500" w:hanging="180"/>
      </w:pPr>
    </w:lvl>
    <w:lvl w:ilvl="3" w:tplc="C8CA6108">
      <w:start w:val="1"/>
      <w:numFmt w:val="decimal"/>
      <w:lvlText w:val="%4."/>
      <w:lvlJc w:val="right"/>
      <w:pPr>
        <w:ind w:left="2000" w:hanging="180"/>
      </w:pPr>
    </w:lvl>
    <w:lvl w:ilvl="4" w:tplc="FEA83740">
      <w:start w:val="1"/>
      <w:numFmt w:val="decimal"/>
      <w:lvlText w:val="%5."/>
      <w:lvlJc w:val="right"/>
      <w:pPr>
        <w:ind w:left="2500" w:hanging="180"/>
      </w:pPr>
    </w:lvl>
    <w:lvl w:ilvl="5" w:tplc="DF229612">
      <w:start w:val="1"/>
      <w:numFmt w:val="decimal"/>
      <w:lvlText w:val="%6."/>
      <w:lvlJc w:val="right"/>
      <w:pPr>
        <w:ind w:left="3000" w:hanging="180"/>
      </w:pPr>
    </w:lvl>
    <w:lvl w:ilvl="6" w:tplc="DED669F0">
      <w:start w:val="1"/>
      <w:numFmt w:val="decimal"/>
      <w:lvlText w:val="%7."/>
      <w:lvlJc w:val="right"/>
      <w:pPr>
        <w:ind w:left="3500" w:hanging="180"/>
      </w:pPr>
    </w:lvl>
    <w:lvl w:ilvl="7" w:tplc="BC686F76">
      <w:start w:val="1"/>
      <w:numFmt w:val="decimal"/>
      <w:lvlText w:val="%8."/>
      <w:lvlJc w:val="right"/>
      <w:pPr>
        <w:ind w:left="4000" w:hanging="180"/>
      </w:pPr>
    </w:lvl>
    <w:lvl w:ilvl="8" w:tplc="80B87E2A">
      <w:start w:val="1"/>
      <w:numFmt w:val="decimal"/>
      <w:lvlText w:val="%9."/>
      <w:lvlJc w:val="right"/>
      <w:pPr>
        <w:ind w:left="4500" w:hanging="180"/>
      </w:pPr>
    </w:lvl>
  </w:abstractNum>
  <w:abstractNum w:abstractNumId="25" w15:restartNumberingAfterBreak="0">
    <w:nsid w:val="55C6567E"/>
    <w:multiLevelType w:val="hybridMultilevel"/>
    <w:tmpl w:val="E9C0F34C"/>
    <w:name w:val="CPSNumberingScheme"/>
    <w:lvl w:ilvl="0" w:tplc="6FEAF72A">
      <w:start w:val="1"/>
      <w:numFmt w:val="decimal"/>
      <w:lvlText w:val="%1."/>
      <w:lvlJc w:val="right"/>
      <w:pPr>
        <w:ind w:left="500" w:hanging="180"/>
      </w:pPr>
    </w:lvl>
    <w:lvl w:ilvl="1" w:tplc="C492BBCA">
      <w:start w:val="1"/>
      <w:numFmt w:val="decimal"/>
      <w:lvlText w:val="%2."/>
      <w:lvlJc w:val="right"/>
      <w:pPr>
        <w:ind w:left="1000" w:hanging="180"/>
      </w:pPr>
    </w:lvl>
    <w:lvl w:ilvl="2" w:tplc="C87CDC60">
      <w:start w:val="1"/>
      <w:numFmt w:val="decimal"/>
      <w:lvlText w:val="%3."/>
      <w:lvlJc w:val="right"/>
      <w:pPr>
        <w:ind w:left="1500" w:hanging="180"/>
      </w:pPr>
    </w:lvl>
    <w:lvl w:ilvl="3" w:tplc="07025B10">
      <w:start w:val="1"/>
      <w:numFmt w:val="decimal"/>
      <w:lvlText w:val="%4."/>
      <w:lvlJc w:val="right"/>
      <w:pPr>
        <w:ind w:left="2000" w:hanging="180"/>
      </w:pPr>
    </w:lvl>
    <w:lvl w:ilvl="4" w:tplc="E71498C8">
      <w:start w:val="1"/>
      <w:numFmt w:val="decimal"/>
      <w:lvlText w:val="%5."/>
      <w:lvlJc w:val="right"/>
      <w:pPr>
        <w:ind w:left="2500" w:hanging="180"/>
      </w:pPr>
    </w:lvl>
    <w:lvl w:ilvl="5" w:tplc="BE24F7FC">
      <w:start w:val="1"/>
      <w:numFmt w:val="decimal"/>
      <w:lvlText w:val="%6."/>
      <w:lvlJc w:val="right"/>
      <w:pPr>
        <w:ind w:left="3000" w:hanging="180"/>
      </w:pPr>
    </w:lvl>
    <w:lvl w:ilvl="6" w:tplc="0D107894">
      <w:start w:val="1"/>
      <w:numFmt w:val="decimal"/>
      <w:lvlText w:val="%7."/>
      <w:lvlJc w:val="right"/>
      <w:pPr>
        <w:ind w:left="3500" w:hanging="180"/>
      </w:pPr>
    </w:lvl>
    <w:lvl w:ilvl="7" w:tplc="5998B8CA">
      <w:start w:val="1"/>
      <w:numFmt w:val="decimal"/>
      <w:lvlText w:val="%8."/>
      <w:lvlJc w:val="right"/>
      <w:pPr>
        <w:ind w:left="4000" w:hanging="180"/>
      </w:pPr>
    </w:lvl>
    <w:lvl w:ilvl="8" w:tplc="AD006ABE">
      <w:start w:val="1"/>
      <w:numFmt w:val="decimal"/>
      <w:lvlText w:val="%9."/>
      <w:lvlJc w:val="right"/>
      <w:pPr>
        <w:ind w:left="4500" w:hanging="180"/>
      </w:pPr>
    </w:lvl>
  </w:abstractNum>
  <w:abstractNum w:abstractNumId="26" w15:restartNumberingAfterBreak="0">
    <w:nsid w:val="6724269C"/>
    <w:multiLevelType w:val="hybridMultilevel"/>
    <w:tmpl w:val="C220F516"/>
    <w:name w:val="CPSNumberingScheme"/>
    <w:lvl w:ilvl="0" w:tplc="F13C0F72">
      <w:start w:val="1"/>
      <w:numFmt w:val="decimal"/>
      <w:lvlText w:val="%1."/>
      <w:lvlJc w:val="right"/>
      <w:pPr>
        <w:ind w:left="500" w:hanging="180"/>
      </w:pPr>
    </w:lvl>
    <w:lvl w:ilvl="1" w:tplc="02C0FC84">
      <w:start w:val="1"/>
      <w:numFmt w:val="decimal"/>
      <w:lvlText w:val="%2."/>
      <w:lvlJc w:val="right"/>
      <w:pPr>
        <w:ind w:left="1000" w:hanging="180"/>
      </w:pPr>
    </w:lvl>
    <w:lvl w:ilvl="2" w:tplc="0AF22C2E">
      <w:start w:val="1"/>
      <w:numFmt w:val="decimal"/>
      <w:lvlText w:val="%3."/>
      <w:lvlJc w:val="right"/>
      <w:pPr>
        <w:ind w:left="1500" w:hanging="180"/>
      </w:pPr>
    </w:lvl>
    <w:lvl w:ilvl="3" w:tplc="6930E6B4">
      <w:start w:val="1"/>
      <w:numFmt w:val="decimal"/>
      <w:lvlText w:val="%4."/>
      <w:lvlJc w:val="right"/>
      <w:pPr>
        <w:ind w:left="2000" w:hanging="180"/>
      </w:pPr>
    </w:lvl>
    <w:lvl w:ilvl="4" w:tplc="48B83F1C">
      <w:start w:val="1"/>
      <w:numFmt w:val="decimal"/>
      <w:lvlText w:val="%5."/>
      <w:lvlJc w:val="right"/>
      <w:pPr>
        <w:ind w:left="2500" w:hanging="180"/>
      </w:pPr>
    </w:lvl>
    <w:lvl w:ilvl="5" w:tplc="861C4C72">
      <w:start w:val="1"/>
      <w:numFmt w:val="decimal"/>
      <w:lvlText w:val="%6."/>
      <w:lvlJc w:val="right"/>
      <w:pPr>
        <w:ind w:left="3000" w:hanging="180"/>
      </w:pPr>
    </w:lvl>
    <w:lvl w:ilvl="6" w:tplc="1198464C">
      <w:start w:val="1"/>
      <w:numFmt w:val="decimal"/>
      <w:lvlText w:val="%7."/>
      <w:lvlJc w:val="right"/>
      <w:pPr>
        <w:ind w:left="3500" w:hanging="180"/>
      </w:pPr>
    </w:lvl>
    <w:lvl w:ilvl="7" w:tplc="5FC0E5E2">
      <w:start w:val="1"/>
      <w:numFmt w:val="decimal"/>
      <w:lvlText w:val="%8."/>
      <w:lvlJc w:val="right"/>
      <w:pPr>
        <w:ind w:left="4000" w:hanging="180"/>
      </w:pPr>
    </w:lvl>
    <w:lvl w:ilvl="8" w:tplc="9FA2AB88">
      <w:start w:val="1"/>
      <w:numFmt w:val="decimal"/>
      <w:lvlText w:val="%9."/>
      <w:lvlJc w:val="right"/>
      <w:pPr>
        <w:ind w:left="4500" w:hanging="180"/>
      </w:pPr>
    </w:lvl>
  </w:abstractNum>
  <w:abstractNum w:abstractNumId="27" w15:restartNumberingAfterBreak="0">
    <w:nsid w:val="6D9D7E4D"/>
    <w:multiLevelType w:val="hybridMultilevel"/>
    <w:tmpl w:val="5E30BB80"/>
    <w:name w:val="CPSNumberingScheme"/>
    <w:lvl w:ilvl="0" w:tplc="AAA8682E">
      <w:start w:val="1"/>
      <w:numFmt w:val="decimal"/>
      <w:lvlText w:val="%1."/>
      <w:lvlJc w:val="right"/>
      <w:pPr>
        <w:ind w:left="500" w:hanging="180"/>
      </w:pPr>
    </w:lvl>
    <w:lvl w:ilvl="1" w:tplc="3FECC594">
      <w:start w:val="1"/>
      <w:numFmt w:val="decimal"/>
      <w:lvlText w:val="%2."/>
      <w:lvlJc w:val="right"/>
      <w:pPr>
        <w:ind w:left="1000" w:hanging="180"/>
      </w:pPr>
    </w:lvl>
    <w:lvl w:ilvl="2" w:tplc="45BE1F00">
      <w:start w:val="1"/>
      <w:numFmt w:val="decimal"/>
      <w:lvlText w:val="%3."/>
      <w:lvlJc w:val="right"/>
      <w:pPr>
        <w:ind w:left="1500" w:hanging="180"/>
      </w:pPr>
    </w:lvl>
    <w:lvl w:ilvl="3" w:tplc="93F47C1E">
      <w:start w:val="1"/>
      <w:numFmt w:val="decimal"/>
      <w:lvlText w:val="%4."/>
      <w:lvlJc w:val="right"/>
      <w:pPr>
        <w:ind w:left="2000" w:hanging="180"/>
      </w:pPr>
    </w:lvl>
    <w:lvl w:ilvl="4" w:tplc="F8E87F54">
      <w:start w:val="1"/>
      <w:numFmt w:val="decimal"/>
      <w:lvlText w:val="%5."/>
      <w:lvlJc w:val="right"/>
      <w:pPr>
        <w:ind w:left="2500" w:hanging="180"/>
      </w:pPr>
    </w:lvl>
    <w:lvl w:ilvl="5" w:tplc="2E1C2DD2">
      <w:start w:val="1"/>
      <w:numFmt w:val="decimal"/>
      <w:lvlText w:val="%6."/>
      <w:lvlJc w:val="right"/>
      <w:pPr>
        <w:ind w:left="3000" w:hanging="180"/>
      </w:pPr>
    </w:lvl>
    <w:lvl w:ilvl="6" w:tplc="2FC89606">
      <w:start w:val="1"/>
      <w:numFmt w:val="decimal"/>
      <w:lvlText w:val="%7."/>
      <w:lvlJc w:val="right"/>
      <w:pPr>
        <w:ind w:left="3500" w:hanging="180"/>
      </w:pPr>
    </w:lvl>
    <w:lvl w:ilvl="7" w:tplc="12D6E072">
      <w:start w:val="1"/>
      <w:numFmt w:val="decimal"/>
      <w:lvlText w:val="%8."/>
      <w:lvlJc w:val="right"/>
      <w:pPr>
        <w:ind w:left="4000" w:hanging="180"/>
      </w:pPr>
    </w:lvl>
    <w:lvl w:ilvl="8" w:tplc="1ACC7B5C">
      <w:start w:val="1"/>
      <w:numFmt w:val="decimal"/>
      <w:lvlText w:val="%9."/>
      <w:lvlJc w:val="right"/>
      <w:pPr>
        <w:ind w:left="4500" w:hanging="180"/>
      </w:pPr>
    </w:lvl>
  </w:abstractNum>
  <w:abstractNum w:abstractNumId="28" w15:restartNumberingAfterBreak="0">
    <w:nsid w:val="73DD36A3"/>
    <w:multiLevelType w:val="hybridMultilevel"/>
    <w:tmpl w:val="6E32D410"/>
    <w:name w:val="CPSNumberingScheme"/>
    <w:lvl w:ilvl="0" w:tplc="1B54CC74">
      <w:start w:val="1"/>
      <w:numFmt w:val="decimal"/>
      <w:lvlText w:val="%1."/>
      <w:lvlJc w:val="right"/>
      <w:pPr>
        <w:ind w:left="500" w:hanging="180"/>
      </w:pPr>
    </w:lvl>
    <w:lvl w:ilvl="1" w:tplc="FE5CAEE8">
      <w:start w:val="1"/>
      <w:numFmt w:val="decimal"/>
      <w:lvlText w:val="%2."/>
      <w:lvlJc w:val="right"/>
      <w:pPr>
        <w:ind w:left="1000" w:hanging="180"/>
      </w:pPr>
    </w:lvl>
    <w:lvl w:ilvl="2" w:tplc="A1805416">
      <w:start w:val="1"/>
      <w:numFmt w:val="decimal"/>
      <w:lvlText w:val="%3."/>
      <w:lvlJc w:val="right"/>
      <w:pPr>
        <w:ind w:left="1500" w:hanging="180"/>
      </w:pPr>
    </w:lvl>
    <w:lvl w:ilvl="3" w:tplc="47667312">
      <w:start w:val="1"/>
      <w:numFmt w:val="decimal"/>
      <w:lvlText w:val="%4."/>
      <w:lvlJc w:val="right"/>
      <w:pPr>
        <w:ind w:left="2000" w:hanging="180"/>
      </w:pPr>
    </w:lvl>
    <w:lvl w:ilvl="4" w:tplc="170680D8">
      <w:start w:val="1"/>
      <w:numFmt w:val="decimal"/>
      <w:lvlText w:val="%5."/>
      <w:lvlJc w:val="right"/>
      <w:pPr>
        <w:ind w:left="2500" w:hanging="180"/>
      </w:pPr>
    </w:lvl>
    <w:lvl w:ilvl="5" w:tplc="786C66B0">
      <w:start w:val="1"/>
      <w:numFmt w:val="decimal"/>
      <w:lvlText w:val="%6."/>
      <w:lvlJc w:val="right"/>
      <w:pPr>
        <w:ind w:left="3000" w:hanging="180"/>
      </w:pPr>
    </w:lvl>
    <w:lvl w:ilvl="6" w:tplc="F4561464">
      <w:start w:val="1"/>
      <w:numFmt w:val="decimal"/>
      <w:lvlText w:val="%7."/>
      <w:lvlJc w:val="right"/>
      <w:pPr>
        <w:ind w:left="3500" w:hanging="180"/>
      </w:pPr>
    </w:lvl>
    <w:lvl w:ilvl="7" w:tplc="932ED280">
      <w:start w:val="1"/>
      <w:numFmt w:val="decimal"/>
      <w:lvlText w:val="%8."/>
      <w:lvlJc w:val="right"/>
      <w:pPr>
        <w:ind w:left="4000" w:hanging="180"/>
      </w:pPr>
    </w:lvl>
    <w:lvl w:ilvl="8" w:tplc="05ACDCE2">
      <w:start w:val="1"/>
      <w:numFmt w:val="decimal"/>
      <w:lvlText w:val="%9."/>
      <w:lvlJc w:val="right"/>
      <w:pPr>
        <w:ind w:left="4500" w:hanging="180"/>
      </w:pPr>
    </w:lvl>
  </w:abstractNum>
  <w:abstractNum w:abstractNumId="29"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0A"/>
    <w:multiLevelType w:val="hybridMultilevel"/>
    <w:tmpl w:val="DF36AEB2"/>
    <w:name w:val="CPSNumberingScheme"/>
    <w:lvl w:ilvl="0" w:tplc="58DA29BC">
      <w:start w:val="1"/>
      <w:numFmt w:val="decimal"/>
      <w:lvlText w:val="%1."/>
      <w:lvlJc w:val="right"/>
      <w:pPr>
        <w:ind w:left="500" w:hanging="180"/>
      </w:pPr>
    </w:lvl>
    <w:lvl w:ilvl="1" w:tplc="6AFA5C28">
      <w:start w:val="1"/>
      <w:numFmt w:val="decimal"/>
      <w:lvlText w:val="%2."/>
      <w:lvlJc w:val="right"/>
      <w:pPr>
        <w:ind w:left="1000" w:hanging="180"/>
      </w:pPr>
    </w:lvl>
    <w:lvl w:ilvl="2" w:tplc="F9D04758">
      <w:start w:val="1"/>
      <w:numFmt w:val="decimal"/>
      <w:lvlText w:val="%3."/>
      <w:lvlJc w:val="right"/>
      <w:pPr>
        <w:ind w:left="1500" w:hanging="180"/>
      </w:pPr>
    </w:lvl>
    <w:lvl w:ilvl="3" w:tplc="4B44FB9E">
      <w:start w:val="1"/>
      <w:numFmt w:val="decimal"/>
      <w:lvlText w:val="%4."/>
      <w:lvlJc w:val="right"/>
      <w:pPr>
        <w:ind w:left="2000" w:hanging="180"/>
      </w:pPr>
    </w:lvl>
    <w:lvl w:ilvl="4" w:tplc="7F709162">
      <w:start w:val="1"/>
      <w:numFmt w:val="decimal"/>
      <w:lvlText w:val="%5."/>
      <w:lvlJc w:val="right"/>
      <w:pPr>
        <w:ind w:left="2500" w:hanging="180"/>
      </w:pPr>
    </w:lvl>
    <w:lvl w:ilvl="5" w:tplc="BEBEEF0A">
      <w:start w:val="1"/>
      <w:numFmt w:val="decimal"/>
      <w:lvlText w:val="%6."/>
      <w:lvlJc w:val="right"/>
      <w:pPr>
        <w:ind w:left="3000" w:hanging="180"/>
      </w:pPr>
    </w:lvl>
    <w:lvl w:ilvl="6" w:tplc="0EF07FF0">
      <w:start w:val="1"/>
      <w:numFmt w:val="decimal"/>
      <w:lvlText w:val="%7."/>
      <w:lvlJc w:val="right"/>
      <w:pPr>
        <w:ind w:left="3500" w:hanging="180"/>
      </w:pPr>
    </w:lvl>
    <w:lvl w:ilvl="7" w:tplc="8806CDBA">
      <w:start w:val="1"/>
      <w:numFmt w:val="decimal"/>
      <w:lvlText w:val="%8."/>
      <w:lvlJc w:val="right"/>
      <w:pPr>
        <w:ind w:left="4000" w:hanging="180"/>
      </w:pPr>
    </w:lvl>
    <w:lvl w:ilvl="8" w:tplc="CEBA5276">
      <w:start w:val="1"/>
      <w:numFmt w:val="decimal"/>
      <w:lvlText w:val="%9."/>
      <w:lvlJc w:val="right"/>
      <w:pPr>
        <w:ind w:left="4500" w:hanging="180"/>
      </w:pPr>
    </w:lvl>
  </w:abstractNum>
  <w:abstractNum w:abstractNumId="31" w15:restartNumberingAfterBreak="0">
    <w:nsid w:val="76B966E6"/>
    <w:multiLevelType w:val="hybridMultilevel"/>
    <w:tmpl w:val="8A545E44"/>
    <w:name w:val="CPSNumberingScheme"/>
    <w:lvl w:ilvl="0" w:tplc="DA5CBB28">
      <w:start w:val="1"/>
      <w:numFmt w:val="decimal"/>
      <w:lvlText w:val="%1."/>
      <w:lvlJc w:val="right"/>
      <w:pPr>
        <w:ind w:left="500" w:hanging="180"/>
      </w:pPr>
    </w:lvl>
    <w:lvl w:ilvl="1" w:tplc="61DCC944">
      <w:start w:val="1"/>
      <w:numFmt w:val="decimal"/>
      <w:lvlText w:val="%2."/>
      <w:lvlJc w:val="right"/>
      <w:pPr>
        <w:ind w:left="1000" w:hanging="180"/>
      </w:pPr>
    </w:lvl>
    <w:lvl w:ilvl="2" w:tplc="B3ECE27C">
      <w:start w:val="1"/>
      <w:numFmt w:val="decimal"/>
      <w:lvlText w:val="%3."/>
      <w:lvlJc w:val="right"/>
      <w:pPr>
        <w:ind w:left="1500" w:hanging="180"/>
      </w:pPr>
    </w:lvl>
    <w:lvl w:ilvl="3" w:tplc="38A22230">
      <w:start w:val="1"/>
      <w:numFmt w:val="decimal"/>
      <w:lvlText w:val="%4."/>
      <w:lvlJc w:val="right"/>
      <w:pPr>
        <w:ind w:left="2000" w:hanging="180"/>
      </w:pPr>
    </w:lvl>
    <w:lvl w:ilvl="4" w:tplc="DF6E3B5E">
      <w:start w:val="1"/>
      <w:numFmt w:val="decimal"/>
      <w:lvlText w:val="%5."/>
      <w:lvlJc w:val="right"/>
      <w:pPr>
        <w:ind w:left="2500" w:hanging="180"/>
      </w:pPr>
    </w:lvl>
    <w:lvl w:ilvl="5" w:tplc="E6169B40">
      <w:start w:val="1"/>
      <w:numFmt w:val="decimal"/>
      <w:lvlText w:val="%6."/>
      <w:lvlJc w:val="right"/>
      <w:pPr>
        <w:ind w:left="3000" w:hanging="180"/>
      </w:pPr>
    </w:lvl>
    <w:lvl w:ilvl="6" w:tplc="70BEB82C">
      <w:start w:val="1"/>
      <w:numFmt w:val="decimal"/>
      <w:lvlText w:val="%7."/>
      <w:lvlJc w:val="right"/>
      <w:pPr>
        <w:ind w:left="3500" w:hanging="180"/>
      </w:pPr>
    </w:lvl>
    <w:lvl w:ilvl="7" w:tplc="121E850A">
      <w:start w:val="1"/>
      <w:numFmt w:val="decimal"/>
      <w:lvlText w:val="%8."/>
      <w:lvlJc w:val="right"/>
      <w:pPr>
        <w:ind w:left="4000" w:hanging="180"/>
      </w:pPr>
    </w:lvl>
    <w:lvl w:ilvl="8" w:tplc="3E4694DA">
      <w:start w:val="1"/>
      <w:numFmt w:val="decimal"/>
      <w:lvlText w:val="%9."/>
      <w:lvlJc w:val="right"/>
      <w:pPr>
        <w:ind w:left="4500" w:hanging="180"/>
      </w:pPr>
    </w:lvl>
  </w:abstractNum>
  <w:abstractNum w:abstractNumId="32" w15:restartNumberingAfterBreak="0">
    <w:nsid w:val="77222578"/>
    <w:multiLevelType w:val="hybridMultilevel"/>
    <w:tmpl w:val="2834AB42"/>
    <w:name w:val="CPSNumberingScheme"/>
    <w:lvl w:ilvl="0" w:tplc="7D9404FA">
      <w:start w:val="1"/>
      <w:numFmt w:val="decimal"/>
      <w:lvlText w:val="%1."/>
      <w:lvlJc w:val="right"/>
      <w:pPr>
        <w:ind w:left="500" w:hanging="180"/>
      </w:pPr>
    </w:lvl>
    <w:lvl w:ilvl="1" w:tplc="601C7F5A">
      <w:start w:val="1"/>
      <w:numFmt w:val="decimal"/>
      <w:lvlText w:val="%2."/>
      <w:lvlJc w:val="right"/>
      <w:pPr>
        <w:ind w:left="1000" w:hanging="180"/>
      </w:pPr>
    </w:lvl>
    <w:lvl w:ilvl="2" w:tplc="3782DB52">
      <w:start w:val="1"/>
      <w:numFmt w:val="decimal"/>
      <w:lvlText w:val="%3."/>
      <w:lvlJc w:val="right"/>
      <w:pPr>
        <w:ind w:left="1500" w:hanging="180"/>
      </w:pPr>
    </w:lvl>
    <w:lvl w:ilvl="3" w:tplc="8E0609D2">
      <w:start w:val="1"/>
      <w:numFmt w:val="decimal"/>
      <w:lvlText w:val="%4."/>
      <w:lvlJc w:val="right"/>
      <w:pPr>
        <w:ind w:left="2000" w:hanging="180"/>
      </w:pPr>
    </w:lvl>
    <w:lvl w:ilvl="4" w:tplc="11D68062">
      <w:start w:val="1"/>
      <w:numFmt w:val="decimal"/>
      <w:lvlText w:val="%5."/>
      <w:lvlJc w:val="right"/>
      <w:pPr>
        <w:ind w:left="2500" w:hanging="180"/>
      </w:pPr>
    </w:lvl>
    <w:lvl w:ilvl="5" w:tplc="A11E6A18">
      <w:start w:val="1"/>
      <w:numFmt w:val="decimal"/>
      <w:lvlText w:val="%6."/>
      <w:lvlJc w:val="right"/>
      <w:pPr>
        <w:ind w:left="3000" w:hanging="180"/>
      </w:pPr>
    </w:lvl>
    <w:lvl w:ilvl="6" w:tplc="799A692A">
      <w:start w:val="1"/>
      <w:numFmt w:val="decimal"/>
      <w:lvlText w:val="%7."/>
      <w:lvlJc w:val="right"/>
      <w:pPr>
        <w:ind w:left="3500" w:hanging="180"/>
      </w:pPr>
    </w:lvl>
    <w:lvl w:ilvl="7" w:tplc="FA588EF8">
      <w:start w:val="1"/>
      <w:numFmt w:val="decimal"/>
      <w:lvlText w:val="%8."/>
      <w:lvlJc w:val="right"/>
      <w:pPr>
        <w:ind w:left="4000" w:hanging="180"/>
      </w:pPr>
    </w:lvl>
    <w:lvl w:ilvl="8" w:tplc="494E919C">
      <w:start w:val="1"/>
      <w:numFmt w:val="decimal"/>
      <w:lvlText w:val="%9."/>
      <w:lvlJc w:val="right"/>
      <w:pPr>
        <w:ind w:left="4500" w:hanging="180"/>
      </w:pPr>
    </w:lvl>
  </w:abstractNum>
  <w:abstractNum w:abstractNumId="33" w15:restartNumberingAfterBreak="0">
    <w:nsid w:val="77624F85"/>
    <w:multiLevelType w:val="hybridMultilevel"/>
    <w:tmpl w:val="DAE2C944"/>
    <w:name w:val="CPSNumberingScheme"/>
    <w:lvl w:ilvl="0" w:tplc="B7640C9A">
      <w:start w:val="1"/>
      <w:numFmt w:val="decimal"/>
      <w:lvlText w:val="%1."/>
      <w:lvlJc w:val="right"/>
      <w:pPr>
        <w:ind w:left="500" w:hanging="180"/>
      </w:pPr>
    </w:lvl>
    <w:lvl w:ilvl="1" w:tplc="F03EFCDC">
      <w:start w:val="1"/>
      <w:numFmt w:val="decimal"/>
      <w:lvlText w:val="%2."/>
      <w:lvlJc w:val="right"/>
      <w:pPr>
        <w:ind w:left="1000" w:hanging="180"/>
      </w:pPr>
    </w:lvl>
    <w:lvl w:ilvl="2" w:tplc="2326E0EE">
      <w:start w:val="1"/>
      <w:numFmt w:val="decimal"/>
      <w:lvlText w:val="%3."/>
      <w:lvlJc w:val="right"/>
      <w:pPr>
        <w:ind w:left="1500" w:hanging="180"/>
      </w:pPr>
    </w:lvl>
    <w:lvl w:ilvl="3" w:tplc="97A04622">
      <w:start w:val="1"/>
      <w:numFmt w:val="decimal"/>
      <w:lvlText w:val="%4."/>
      <w:lvlJc w:val="right"/>
      <w:pPr>
        <w:ind w:left="2000" w:hanging="180"/>
      </w:pPr>
    </w:lvl>
    <w:lvl w:ilvl="4" w:tplc="03260046">
      <w:start w:val="1"/>
      <w:numFmt w:val="decimal"/>
      <w:lvlText w:val="%5."/>
      <w:lvlJc w:val="right"/>
      <w:pPr>
        <w:ind w:left="2500" w:hanging="180"/>
      </w:pPr>
    </w:lvl>
    <w:lvl w:ilvl="5" w:tplc="E758A924">
      <w:start w:val="1"/>
      <w:numFmt w:val="decimal"/>
      <w:lvlText w:val="%6."/>
      <w:lvlJc w:val="right"/>
      <w:pPr>
        <w:ind w:left="3000" w:hanging="180"/>
      </w:pPr>
    </w:lvl>
    <w:lvl w:ilvl="6" w:tplc="601EE508">
      <w:start w:val="1"/>
      <w:numFmt w:val="decimal"/>
      <w:lvlText w:val="%7."/>
      <w:lvlJc w:val="right"/>
      <w:pPr>
        <w:ind w:left="3500" w:hanging="180"/>
      </w:pPr>
    </w:lvl>
    <w:lvl w:ilvl="7" w:tplc="272ABCF6">
      <w:start w:val="1"/>
      <w:numFmt w:val="decimal"/>
      <w:lvlText w:val="%8."/>
      <w:lvlJc w:val="right"/>
      <w:pPr>
        <w:ind w:left="4000" w:hanging="180"/>
      </w:pPr>
    </w:lvl>
    <w:lvl w:ilvl="8" w:tplc="A8D43A8C">
      <w:start w:val="1"/>
      <w:numFmt w:val="decimal"/>
      <w:lvlText w:val="%9."/>
      <w:lvlJc w:val="right"/>
      <w:pPr>
        <w:ind w:left="4500" w:hanging="180"/>
      </w:pPr>
    </w:lvl>
  </w:abstractNum>
  <w:abstractNum w:abstractNumId="34" w15:restartNumberingAfterBreak="0">
    <w:nsid w:val="78CA3433"/>
    <w:multiLevelType w:val="hybridMultilevel"/>
    <w:tmpl w:val="85A8EC0A"/>
    <w:name w:val="CPSNumberingScheme"/>
    <w:lvl w:ilvl="0" w:tplc="C964744C">
      <w:start w:val="1"/>
      <w:numFmt w:val="decimal"/>
      <w:lvlText w:val="%1."/>
      <w:lvlJc w:val="right"/>
      <w:pPr>
        <w:ind w:left="500" w:hanging="180"/>
      </w:pPr>
    </w:lvl>
    <w:lvl w:ilvl="1" w:tplc="104A4550">
      <w:start w:val="1"/>
      <w:numFmt w:val="decimal"/>
      <w:lvlText w:val="%2."/>
      <w:lvlJc w:val="right"/>
      <w:pPr>
        <w:ind w:left="1000" w:hanging="180"/>
      </w:pPr>
    </w:lvl>
    <w:lvl w:ilvl="2" w:tplc="6F22DF76">
      <w:start w:val="1"/>
      <w:numFmt w:val="decimal"/>
      <w:lvlText w:val="%3."/>
      <w:lvlJc w:val="right"/>
      <w:pPr>
        <w:ind w:left="1500" w:hanging="180"/>
      </w:pPr>
    </w:lvl>
    <w:lvl w:ilvl="3" w:tplc="64244328">
      <w:start w:val="1"/>
      <w:numFmt w:val="decimal"/>
      <w:lvlText w:val="%4."/>
      <w:lvlJc w:val="right"/>
      <w:pPr>
        <w:ind w:left="2000" w:hanging="180"/>
      </w:pPr>
    </w:lvl>
    <w:lvl w:ilvl="4" w:tplc="CF1E512E">
      <w:start w:val="1"/>
      <w:numFmt w:val="decimal"/>
      <w:lvlText w:val="%5."/>
      <w:lvlJc w:val="right"/>
      <w:pPr>
        <w:ind w:left="2500" w:hanging="180"/>
      </w:pPr>
    </w:lvl>
    <w:lvl w:ilvl="5" w:tplc="BF5EFEE2">
      <w:start w:val="1"/>
      <w:numFmt w:val="decimal"/>
      <w:lvlText w:val="%6."/>
      <w:lvlJc w:val="right"/>
      <w:pPr>
        <w:ind w:left="3000" w:hanging="180"/>
      </w:pPr>
    </w:lvl>
    <w:lvl w:ilvl="6" w:tplc="D84C6E3A">
      <w:start w:val="1"/>
      <w:numFmt w:val="decimal"/>
      <w:lvlText w:val="%7."/>
      <w:lvlJc w:val="right"/>
      <w:pPr>
        <w:ind w:left="3500" w:hanging="180"/>
      </w:pPr>
    </w:lvl>
    <w:lvl w:ilvl="7" w:tplc="31027578">
      <w:start w:val="1"/>
      <w:numFmt w:val="decimal"/>
      <w:lvlText w:val="%8."/>
      <w:lvlJc w:val="right"/>
      <w:pPr>
        <w:ind w:left="4000" w:hanging="180"/>
      </w:pPr>
    </w:lvl>
    <w:lvl w:ilvl="8" w:tplc="E182FB6C">
      <w:start w:val="1"/>
      <w:numFmt w:val="decimal"/>
      <w:lvlText w:val="%9."/>
      <w:lvlJc w:val="right"/>
      <w:pPr>
        <w:ind w:left="4500" w:hanging="180"/>
      </w:pPr>
    </w:lvl>
  </w:abstractNum>
  <w:num w:numId="1">
    <w:abstractNumId w:val="4"/>
  </w:num>
  <w:num w:numId="2">
    <w:abstractNumId w:val="29"/>
  </w:num>
  <w:num w:numId="3">
    <w:abstractNumId w:val="23"/>
  </w:num>
  <w:num w:numId="4">
    <w:abstractNumId w:val="3"/>
  </w:num>
  <w:num w:numId="5">
    <w:abstractNumId w:val="12"/>
  </w:num>
  <w:num w:numId="6">
    <w:abstractNumId w:val="5"/>
    <w:lvlOverride w:ilvl="0">
      <w:startOverride w:val="1"/>
      <w:lvl w:ilvl="0" w:tplc="2C66D4DA">
        <w:start w:val="1"/>
        <w:numFmt w:val="bullet"/>
        <w:lvlText w:val=""/>
        <w:lvlJc w:val="right"/>
        <w:pPr>
          <w:ind w:left="500" w:hanging="180"/>
        </w:pPr>
        <w:rPr>
          <w:rFonts w:ascii="Symbol" w:hAnsi="Symbol" w:hint="default"/>
        </w:rPr>
      </w:lvl>
    </w:lvlOverride>
    <w:lvlOverride w:ilvl="1">
      <w:startOverride w:val="1"/>
      <w:lvl w:ilvl="1" w:tplc="464EA352">
        <w:start w:val="1"/>
        <w:numFmt w:val="decimal"/>
        <w:lvlText w:val="%2."/>
        <w:lvlJc w:val="right"/>
        <w:pPr>
          <w:ind w:left="1000" w:hanging="180"/>
        </w:pPr>
      </w:lvl>
    </w:lvlOverride>
    <w:lvlOverride w:ilvl="2">
      <w:startOverride w:val="1"/>
      <w:lvl w:ilvl="2" w:tplc="2C38EABA">
        <w:start w:val="1"/>
        <w:numFmt w:val="decimal"/>
        <w:lvlText w:val="%3."/>
        <w:lvlJc w:val="right"/>
        <w:pPr>
          <w:ind w:left="1500" w:hanging="180"/>
        </w:pPr>
      </w:lvl>
    </w:lvlOverride>
    <w:lvlOverride w:ilvl="3">
      <w:startOverride w:val="1"/>
      <w:lvl w:ilvl="3" w:tplc="A5240A38">
        <w:start w:val="1"/>
        <w:numFmt w:val="decimal"/>
        <w:lvlText w:val="%4."/>
        <w:lvlJc w:val="right"/>
        <w:pPr>
          <w:ind w:left="2000" w:hanging="180"/>
        </w:pPr>
      </w:lvl>
    </w:lvlOverride>
    <w:lvlOverride w:ilvl="4">
      <w:startOverride w:val="1"/>
      <w:lvl w:ilvl="4" w:tplc="55B68854">
        <w:start w:val="1"/>
        <w:numFmt w:val="decimal"/>
        <w:lvlText w:val="%5."/>
        <w:lvlJc w:val="right"/>
        <w:pPr>
          <w:ind w:left="2500" w:hanging="180"/>
        </w:pPr>
      </w:lvl>
    </w:lvlOverride>
    <w:lvlOverride w:ilvl="5">
      <w:startOverride w:val="1"/>
      <w:lvl w:ilvl="5" w:tplc="9FF4CF40">
        <w:start w:val="1"/>
        <w:numFmt w:val="decimal"/>
        <w:lvlText w:val="%6."/>
        <w:lvlJc w:val="right"/>
        <w:pPr>
          <w:ind w:left="3000" w:hanging="180"/>
        </w:pPr>
      </w:lvl>
    </w:lvlOverride>
    <w:lvlOverride w:ilvl="6">
      <w:startOverride w:val="1"/>
      <w:lvl w:ilvl="6" w:tplc="4B1C073A">
        <w:start w:val="1"/>
        <w:numFmt w:val="decimal"/>
        <w:lvlText w:val="%7."/>
        <w:lvlJc w:val="right"/>
        <w:pPr>
          <w:ind w:left="3500" w:hanging="180"/>
        </w:pPr>
      </w:lvl>
    </w:lvlOverride>
    <w:lvlOverride w:ilvl="7">
      <w:startOverride w:val="1"/>
      <w:lvl w:ilvl="7" w:tplc="9AD69B8A">
        <w:start w:val="1"/>
        <w:numFmt w:val="decimal"/>
        <w:lvlText w:val="%8."/>
        <w:lvlJc w:val="right"/>
        <w:pPr>
          <w:ind w:left="4000" w:hanging="180"/>
        </w:pPr>
      </w:lvl>
    </w:lvlOverride>
    <w:lvlOverride w:ilvl="8">
      <w:startOverride w:val="1"/>
      <w:lvl w:ilvl="8" w:tplc="A51CCAC8">
        <w:start w:val="1"/>
        <w:numFmt w:val="decimal"/>
        <w:lvlText w:val="%9."/>
        <w:lvlJc w:val="right"/>
        <w:pPr>
          <w:ind w:left="4500" w:hanging="180"/>
        </w:pPr>
      </w:lvl>
    </w:lvlOverride>
  </w:num>
  <w:num w:numId="7">
    <w:abstractNumId w:val="26"/>
    <w:lvlOverride w:ilvl="0">
      <w:startOverride w:val="1"/>
      <w:lvl w:ilvl="0" w:tplc="F13C0F72">
        <w:start w:val="1"/>
        <w:numFmt w:val="bullet"/>
        <w:lvlText w:val=""/>
        <w:lvlJc w:val="right"/>
        <w:pPr>
          <w:ind w:left="500" w:hanging="180"/>
        </w:pPr>
        <w:rPr>
          <w:rFonts w:ascii="Symbol" w:hAnsi="Symbol" w:hint="default"/>
        </w:rPr>
      </w:lvl>
    </w:lvlOverride>
    <w:lvlOverride w:ilvl="1">
      <w:startOverride w:val="1"/>
      <w:lvl w:ilvl="1" w:tplc="02C0FC84">
        <w:start w:val="1"/>
        <w:numFmt w:val="decimal"/>
        <w:lvlText w:val="%2."/>
        <w:lvlJc w:val="right"/>
        <w:pPr>
          <w:ind w:left="1000" w:hanging="180"/>
        </w:pPr>
      </w:lvl>
    </w:lvlOverride>
    <w:lvlOverride w:ilvl="2">
      <w:startOverride w:val="1"/>
      <w:lvl w:ilvl="2" w:tplc="0AF22C2E">
        <w:start w:val="1"/>
        <w:numFmt w:val="decimal"/>
        <w:lvlText w:val="%3."/>
        <w:lvlJc w:val="right"/>
        <w:pPr>
          <w:ind w:left="1500" w:hanging="180"/>
        </w:pPr>
      </w:lvl>
    </w:lvlOverride>
    <w:lvlOverride w:ilvl="3">
      <w:startOverride w:val="1"/>
      <w:lvl w:ilvl="3" w:tplc="6930E6B4">
        <w:start w:val="1"/>
        <w:numFmt w:val="decimal"/>
        <w:lvlText w:val="%4."/>
        <w:lvlJc w:val="right"/>
        <w:pPr>
          <w:ind w:left="2000" w:hanging="180"/>
        </w:pPr>
      </w:lvl>
    </w:lvlOverride>
    <w:lvlOverride w:ilvl="4">
      <w:startOverride w:val="1"/>
      <w:lvl w:ilvl="4" w:tplc="48B83F1C">
        <w:start w:val="1"/>
        <w:numFmt w:val="decimal"/>
        <w:lvlText w:val="%5."/>
        <w:lvlJc w:val="right"/>
        <w:pPr>
          <w:ind w:left="2500" w:hanging="180"/>
        </w:pPr>
      </w:lvl>
    </w:lvlOverride>
    <w:lvlOverride w:ilvl="5">
      <w:startOverride w:val="1"/>
      <w:lvl w:ilvl="5" w:tplc="861C4C72">
        <w:start w:val="1"/>
        <w:numFmt w:val="decimal"/>
        <w:lvlText w:val="%6."/>
        <w:lvlJc w:val="right"/>
        <w:pPr>
          <w:ind w:left="3000" w:hanging="180"/>
        </w:pPr>
      </w:lvl>
    </w:lvlOverride>
    <w:lvlOverride w:ilvl="6">
      <w:startOverride w:val="1"/>
      <w:lvl w:ilvl="6" w:tplc="1198464C">
        <w:start w:val="1"/>
        <w:numFmt w:val="decimal"/>
        <w:lvlText w:val="%7."/>
        <w:lvlJc w:val="right"/>
        <w:pPr>
          <w:ind w:left="3500" w:hanging="180"/>
        </w:pPr>
      </w:lvl>
    </w:lvlOverride>
    <w:lvlOverride w:ilvl="7">
      <w:startOverride w:val="1"/>
      <w:lvl w:ilvl="7" w:tplc="5FC0E5E2">
        <w:start w:val="1"/>
        <w:numFmt w:val="decimal"/>
        <w:lvlText w:val="%8."/>
        <w:lvlJc w:val="right"/>
        <w:pPr>
          <w:ind w:left="4000" w:hanging="180"/>
        </w:pPr>
      </w:lvl>
    </w:lvlOverride>
    <w:lvlOverride w:ilvl="8">
      <w:startOverride w:val="1"/>
      <w:lvl w:ilvl="8" w:tplc="9FA2AB88">
        <w:start w:val="1"/>
        <w:numFmt w:val="decimal"/>
        <w:lvlText w:val="%9."/>
        <w:lvlJc w:val="right"/>
        <w:pPr>
          <w:ind w:left="4500" w:hanging="180"/>
        </w:pPr>
      </w:lvl>
    </w:lvlOverride>
  </w:num>
  <w:num w:numId="8">
    <w:abstractNumId w:val="26"/>
    <w:lvlOverride w:ilvl="0">
      <w:startOverride w:val="1"/>
      <w:lvl w:ilvl="0" w:tplc="F13C0F72">
        <w:start w:val="1"/>
        <w:numFmt w:val="bullet"/>
        <w:lvlText w:val=""/>
        <w:lvlJc w:val="right"/>
        <w:pPr>
          <w:ind w:left="500" w:hanging="180"/>
        </w:pPr>
        <w:rPr>
          <w:rFonts w:ascii="Symbol" w:hAnsi="Symbol" w:hint="default"/>
        </w:rPr>
      </w:lvl>
    </w:lvlOverride>
    <w:lvlOverride w:ilvl="1">
      <w:startOverride w:val="1"/>
      <w:lvl w:ilvl="1" w:tplc="02C0FC84">
        <w:start w:val="1"/>
        <w:numFmt w:val="decimal"/>
        <w:lvlText w:val="%2."/>
        <w:lvlJc w:val="right"/>
        <w:pPr>
          <w:ind w:left="1000" w:hanging="180"/>
        </w:pPr>
      </w:lvl>
    </w:lvlOverride>
    <w:lvlOverride w:ilvl="2">
      <w:startOverride w:val="1"/>
      <w:lvl w:ilvl="2" w:tplc="0AF22C2E">
        <w:start w:val="1"/>
        <w:numFmt w:val="decimal"/>
        <w:lvlText w:val="%3."/>
        <w:lvlJc w:val="right"/>
        <w:pPr>
          <w:ind w:left="1500" w:hanging="180"/>
        </w:pPr>
      </w:lvl>
    </w:lvlOverride>
    <w:lvlOverride w:ilvl="3">
      <w:startOverride w:val="1"/>
      <w:lvl w:ilvl="3" w:tplc="6930E6B4">
        <w:start w:val="1"/>
        <w:numFmt w:val="decimal"/>
        <w:lvlText w:val="%4."/>
        <w:lvlJc w:val="right"/>
        <w:pPr>
          <w:ind w:left="2000" w:hanging="180"/>
        </w:pPr>
      </w:lvl>
    </w:lvlOverride>
    <w:lvlOverride w:ilvl="4">
      <w:startOverride w:val="1"/>
      <w:lvl w:ilvl="4" w:tplc="48B83F1C">
        <w:start w:val="1"/>
        <w:numFmt w:val="decimal"/>
        <w:lvlText w:val="%5."/>
        <w:lvlJc w:val="right"/>
        <w:pPr>
          <w:ind w:left="2500" w:hanging="180"/>
        </w:pPr>
      </w:lvl>
    </w:lvlOverride>
    <w:lvlOverride w:ilvl="5">
      <w:startOverride w:val="1"/>
      <w:lvl w:ilvl="5" w:tplc="861C4C72">
        <w:start w:val="1"/>
        <w:numFmt w:val="decimal"/>
        <w:lvlText w:val="%6."/>
        <w:lvlJc w:val="right"/>
        <w:pPr>
          <w:ind w:left="3000" w:hanging="180"/>
        </w:pPr>
      </w:lvl>
    </w:lvlOverride>
    <w:lvlOverride w:ilvl="6">
      <w:startOverride w:val="1"/>
      <w:lvl w:ilvl="6" w:tplc="1198464C">
        <w:start w:val="1"/>
        <w:numFmt w:val="decimal"/>
        <w:lvlText w:val="%7."/>
        <w:lvlJc w:val="right"/>
        <w:pPr>
          <w:ind w:left="3500" w:hanging="180"/>
        </w:pPr>
      </w:lvl>
    </w:lvlOverride>
    <w:lvlOverride w:ilvl="7">
      <w:startOverride w:val="1"/>
      <w:lvl w:ilvl="7" w:tplc="5FC0E5E2">
        <w:start w:val="1"/>
        <w:numFmt w:val="decimal"/>
        <w:lvlText w:val="%8."/>
        <w:lvlJc w:val="right"/>
        <w:pPr>
          <w:ind w:left="4000" w:hanging="180"/>
        </w:pPr>
      </w:lvl>
    </w:lvlOverride>
    <w:lvlOverride w:ilvl="8">
      <w:startOverride w:val="1"/>
      <w:lvl w:ilvl="8" w:tplc="9FA2AB88">
        <w:start w:val="1"/>
        <w:numFmt w:val="decimal"/>
        <w:lvlText w:val="%9."/>
        <w:lvlJc w:val="right"/>
        <w:pPr>
          <w:ind w:left="4500" w:hanging="180"/>
        </w:pPr>
      </w:lvl>
    </w:lvlOverride>
  </w:num>
  <w:num w:numId="9">
    <w:abstractNumId w:val="30"/>
    <w:lvlOverride w:ilvl="0">
      <w:startOverride w:val="1"/>
      <w:lvl w:ilvl="0" w:tplc="58DA29BC">
        <w:start w:val="1"/>
        <w:numFmt w:val="bullet"/>
        <w:lvlText w:val=""/>
        <w:lvlJc w:val="right"/>
        <w:pPr>
          <w:ind w:left="500" w:hanging="180"/>
        </w:pPr>
        <w:rPr>
          <w:rFonts w:ascii="Symbol" w:hAnsi="Symbol" w:hint="default"/>
        </w:rPr>
      </w:lvl>
    </w:lvlOverride>
    <w:lvlOverride w:ilvl="1">
      <w:startOverride w:val="1"/>
      <w:lvl w:ilvl="1" w:tplc="6AFA5C28">
        <w:start w:val="1"/>
        <w:numFmt w:val="decimal"/>
        <w:lvlText w:val="%2."/>
        <w:lvlJc w:val="right"/>
        <w:pPr>
          <w:ind w:left="1000" w:hanging="180"/>
        </w:pPr>
      </w:lvl>
    </w:lvlOverride>
    <w:lvlOverride w:ilvl="2">
      <w:startOverride w:val="1"/>
      <w:lvl w:ilvl="2" w:tplc="F9D04758">
        <w:start w:val="1"/>
        <w:numFmt w:val="decimal"/>
        <w:lvlText w:val="%3."/>
        <w:lvlJc w:val="right"/>
        <w:pPr>
          <w:ind w:left="1500" w:hanging="180"/>
        </w:pPr>
      </w:lvl>
    </w:lvlOverride>
    <w:lvlOverride w:ilvl="3">
      <w:startOverride w:val="1"/>
      <w:lvl w:ilvl="3" w:tplc="4B44FB9E">
        <w:start w:val="1"/>
        <w:numFmt w:val="decimal"/>
        <w:lvlText w:val="%4."/>
        <w:lvlJc w:val="right"/>
        <w:pPr>
          <w:ind w:left="2000" w:hanging="180"/>
        </w:pPr>
      </w:lvl>
    </w:lvlOverride>
    <w:lvlOverride w:ilvl="4">
      <w:startOverride w:val="1"/>
      <w:lvl w:ilvl="4" w:tplc="7F709162">
        <w:start w:val="1"/>
        <w:numFmt w:val="decimal"/>
        <w:lvlText w:val="%5."/>
        <w:lvlJc w:val="right"/>
        <w:pPr>
          <w:ind w:left="2500" w:hanging="180"/>
        </w:pPr>
      </w:lvl>
    </w:lvlOverride>
    <w:lvlOverride w:ilvl="5">
      <w:startOverride w:val="1"/>
      <w:lvl w:ilvl="5" w:tplc="BEBEEF0A">
        <w:start w:val="1"/>
        <w:numFmt w:val="decimal"/>
        <w:lvlText w:val="%6."/>
        <w:lvlJc w:val="right"/>
        <w:pPr>
          <w:ind w:left="3000" w:hanging="180"/>
        </w:pPr>
      </w:lvl>
    </w:lvlOverride>
    <w:lvlOverride w:ilvl="6">
      <w:startOverride w:val="1"/>
      <w:lvl w:ilvl="6" w:tplc="0EF07FF0">
        <w:start w:val="1"/>
        <w:numFmt w:val="decimal"/>
        <w:lvlText w:val="%7."/>
        <w:lvlJc w:val="right"/>
        <w:pPr>
          <w:ind w:left="3500" w:hanging="180"/>
        </w:pPr>
      </w:lvl>
    </w:lvlOverride>
    <w:lvlOverride w:ilvl="7">
      <w:startOverride w:val="1"/>
      <w:lvl w:ilvl="7" w:tplc="8806CDBA">
        <w:start w:val="1"/>
        <w:numFmt w:val="decimal"/>
        <w:lvlText w:val="%8."/>
        <w:lvlJc w:val="right"/>
        <w:pPr>
          <w:ind w:left="4000" w:hanging="180"/>
        </w:pPr>
      </w:lvl>
    </w:lvlOverride>
    <w:lvlOverride w:ilvl="8">
      <w:startOverride w:val="1"/>
      <w:lvl w:ilvl="8" w:tplc="CEBA5276">
        <w:start w:val="1"/>
        <w:numFmt w:val="decimal"/>
        <w:lvlText w:val="%9."/>
        <w:lvlJc w:val="right"/>
        <w:pPr>
          <w:ind w:left="4500" w:hanging="180"/>
        </w:pPr>
      </w:lvl>
    </w:lvlOverride>
  </w:num>
  <w:num w:numId="10">
    <w:abstractNumId w:val="28"/>
    <w:lvlOverride w:ilvl="0">
      <w:startOverride w:val="1"/>
      <w:lvl w:ilvl="0" w:tplc="1B54CC74">
        <w:start w:val="1"/>
        <w:numFmt w:val="lowerLetter"/>
        <w:lvlText w:val="%1."/>
        <w:lvlJc w:val="right"/>
        <w:pPr>
          <w:ind w:left="500" w:hanging="180"/>
        </w:pPr>
      </w:lvl>
    </w:lvlOverride>
    <w:lvlOverride w:ilvl="1">
      <w:startOverride w:val="1"/>
      <w:lvl w:ilvl="1" w:tplc="FE5CAEE8">
        <w:start w:val="1"/>
        <w:numFmt w:val="decimal"/>
        <w:lvlText w:val="%2."/>
        <w:lvlJc w:val="right"/>
        <w:pPr>
          <w:ind w:left="1000" w:hanging="180"/>
        </w:pPr>
      </w:lvl>
    </w:lvlOverride>
    <w:lvlOverride w:ilvl="2">
      <w:startOverride w:val="1"/>
      <w:lvl w:ilvl="2" w:tplc="A1805416">
        <w:start w:val="1"/>
        <w:numFmt w:val="decimal"/>
        <w:lvlText w:val="%3."/>
        <w:lvlJc w:val="right"/>
        <w:pPr>
          <w:ind w:left="1500" w:hanging="180"/>
        </w:pPr>
      </w:lvl>
    </w:lvlOverride>
    <w:lvlOverride w:ilvl="3">
      <w:startOverride w:val="1"/>
      <w:lvl w:ilvl="3" w:tplc="47667312">
        <w:start w:val="1"/>
        <w:numFmt w:val="decimal"/>
        <w:lvlText w:val="%4."/>
        <w:lvlJc w:val="right"/>
        <w:pPr>
          <w:ind w:left="2000" w:hanging="180"/>
        </w:pPr>
      </w:lvl>
    </w:lvlOverride>
    <w:lvlOverride w:ilvl="4">
      <w:startOverride w:val="1"/>
      <w:lvl w:ilvl="4" w:tplc="170680D8">
        <w:start w:val="1"/>
        <w:numFmt w:val="decimal"/>
        <w:lvlText w:val="%5."/>
        <w:lvlJc w:val="right"/>
        <w:pPr>
          <w:ind w:left="2500" w:hanging="180"/>
        </w:pPr>
      </w:lvl>
    </w:lvlOverride>
    <w:lvlOverride w:ilvl="5">
      <w:startOverride w:val="1"/>
      <w:lvl w:ilvl="5" w:tplc="786C66B0">
        <w:start w:val="1"/>
        <w:numFmt w:val="decimal"/>
        <w:lvlText w:val="%6."/>
        <w:lvlJc w:val="right"/>
        <w:pPr>
          <w:ind w:left="3000" w:hanging="180"/>
        </w:pPr>
      </w:lvl>
    </w:lvlOverride>
    <w:lvlOverride w:ilvl="6">
      <w:startOverride w:val="1"/>
      <w:lvl w:ilvl="6" w:tplc="F4561464">
        <w:start w:val="1"/>
        <w:numFmt w:val="decimal"/>
        <w:lvlText w:val="%7."/>
        <w:lvlJc w:val="right"/>
        <w:pPr>
          <w:ind w:left="3500" w:hanging="180"/>
        </w:pPr>
      </w:lvl>
    </w:lvlOverride>
    <w:lvlOverride w:ilvl="7">
      <w:startOverride w:val="1"/>
      <w:lvl w:ilvl="7" w:tplc="932ED280">
        <w:start w:val="1"/>
        <w:numFmt w:val="decimal"/>
        <w:lvlText w:val="%8."/>
        <w:lvlJc w:val="right"/>
        <w:pPr>
          <w:ind w:left="4000" w:hanging="180"/>
        </w:pPr>
      </w:lvl>
    </w:lvlOverride>
    <w:lvlOverride w:ilvl="8">
      <w:startOverride w:val="1"/>
      <w:lvl w:ilvl="8" w:tplc="05ACDCE2">
        <w:start w:val="1"/>
        <w:numFmt w:val="decimal"/>
        <w:lvlText w:val="%9."/>
        <w:lvlJc w:val="right"/>
        <w:pPr>
          <w:ind w:left="4500" w:hanging="180"/>
        </w:pPr>
      </w:lvl>
    </w:lvlOverride>
  </w:num>
  <w:num w:numId="11">
    <w:abstractNumId w:val="16"/>
    <w:lvlOverride w:ilvl="0">
      <w:startOverride w:val="1"/>
      <w:lvl w:ilvl="0" w:tplc="5434B986">
        <w:start w:val="1"/>
        <w:numFmt w:val="bullet"/>
        <w:lvlText w:val=""/>
        <w:lvlJc w:val="right"/>
        <w:pPr>
          <w:ind w:left="500" w:hanging="180"/>
        </w:pPr>
        <w:rPr>
          <w:rFonts w:ascii="Symbol" w:hAnsi="Symbol" w:hint="default"/>
        </w:rPr>
      </w:lvl>
    </w:lvlOverride>
    <w:lvlOverride w:ilvl="1">
      <w:startOverride w:val="1"/>
      <w:lvl w:ilvl="1" w:tplc="E028E930">
        <w:start w:val="1"/>
        <w:numFmt w:val="decimal"/>
        <w:lvlText w:val="%2."/>
        <w:lvlJc w:val="right"/>
        <w:pPr>
          <w:ind w:left="1000" w:hanging="180"/>
        </w:pPr>
      </w:lvl>
    </w:lvlOverride>
    <w:lvlOverride w:ilvl="2">
      <w:startOverride w:val="1"/>
      <w:lvl w:ilvl="2" w:tplc="8F869B50">
        <w:start w:val="1"/>
        <w:numFmt w:val="decimal"/>
        <w:lvlText w:val="%3."/>
        <w:lvlJc w:val="right"/>
        <w:pPr>
          <w:ind w:left="1500" w:hanging="180"/>
        </w:pPr>
      </w:lvl>
    </w:lvlOverride>
    <w:lvlOverride w:ilvl="3">
      <w:startOverride w:val="1"/>
      <w:lvl w:ilvl="3" w:tplc="CCB2640C">
        <w:start w:val="1"/>
        <w:numFmt w:val="decimal"/>
        <w:lvlText w:val="%4."/>
        <w:lvlJc w:val="right"/>
        <w:pPr>
          <w:ind w:left="2000" w:hanging="180"/>
        </w:pPr>
      </w:lvl>
    </w:lvlOverride>
    <w:lvlOverride w:ilvl="4">
      <w:startOverride w:val="1"/>
      <w:lvl w:ilvl="4" w:tplc="A06CCA0C">
        <w:start w:val="1"/>
        <w:numFmt w:val="decimal"/>
        <w:lvlText w:val="%5."/>
        <w:lvlJc w:val="right"/>
        <w:pPr>
          <w:ind w:left="2500" w:hanging="180"/>
        </w:pPr>
      </w:lvl>
    </w:lvlOverride>
    <w:lvlOverride w:ilvl="5">
      <w:startOverride w:val="1"/>
      <w:lvl w:ilvl="5" w:tplc="D3448036">
        <w:start w:val="1"/>
        <w:numFmt w:val="decimal"/>
        <w:lvlText w:val="%6."/>
        <w:lvlJc w:val="right"/>
        <w:pPr>
          <w:ind w:left="3000" w:hanging="180"/>
        </w:pPr>
      </w:lvl>
    </w:lvlOverride>
    <w:lvlOverride w:ilvl="6">
      <w:startOverride w:val="1"/>
      <w:lvl w:ilvl="6" w:tplc="370418B4">
        <w:start w:val="1"/>
        <w:numFmt w:val="decimal"/>
        <w:lvlText w:val="%7."/>
        <w:lvlJc w:val="right"/>
        <w:pPr>
          <w:ind w:left="3500" w:hanging="180"/>
        </w:pPr>
      </w:lvl>
    </w:lvlOverride>
    <w:lvlOverride w:ilvl="7">
      <w:startOverride w:val="1"/>
      <w:lvl w:ilvl="7" w:tplc="222E8132">
        <w:start w:val="1"/>
        <w:numFmt w:val="decimal"/>
        <w:lvlText w:val="%8."/>
        <w:lvlJc w:val="right"/>
        <w:pPr>
          <w:ind w:left="4000" w:hanging="180"/>
        </w:pPr>
      </w:lvl>
    </w:lvlOverride>
    <w:lvlOverride w:ilvl="8">
      <w:startOverride w:val="1"/>
      <w:lvl w:ilvl="8" w:tplc="F3A47FB4">
        <w:start w:val="1"/>
        <w:numFmt w:val="decimal"/>
        <w:lvlText w:val="%9."/>
        <w:lvlJc w:val="right"/>
        <w:pPr>
          <w:ind w:left="4500" w:hanging="180"/>
        </w:pPr>
      </w:lvl>
    </w:lvlOverride>
  </w:num>
  <w:num w:numId="12">
    <w:abstractNumId w:val="17"/>
    <w:lvlOverride w:ilvl="0">
      <w:startOverride w:val="1"/>
      <w:lvl w:ilvl="0" w:tplc="A6FEE1F8">
        <w:start w:val="1"/>
        <w:numFmt w:val="bullet"/>
        <w:lvlText w:val=""/>
        <w:lvlJc w:val="right"/>
        <w:pPr>
          <w:ind w:left="500" w:hanging="180"/>
        </w:pPr>
        <w:rPr>
          <w:rFonts w:ascii="Symbol" w:hAnsi="Symbol" w:hint="default"/>
        </w:rPr>
      </w:lvl>
    </w:lvlOverride>
    <w:lvlOverride w:ilvl="1">
      <w:startOverride w:val="1"/>
      <w:lvl w:ilvl="1" w:tplc="9CE6BBD0">
        <w:start w:val="1"/>
        <w:numFmt w:val="decimal"/>
        <w:lvlText w:val="%2."/>
        <w:lvlJc w:val="right"/>
        <w:pPr>
          <w:ind w:left="1000" w:hanging="180"/>
        </w:pPr>
      </w:lvl>
    </w:lvlOverride>
    <w:lvlOverride w:ilvl="2">
      <w:startOverride w:val="1"/>
      <w:lvl w:ilvl="2" w:tplc="C676374A">
        <w:start w:val="1"/>
        <w:numFmt w:val="decimal"/>
        <w:lvlText w:val="%3."/>
        <w:lvlJc w:val="right"/>
        <w:pPr>
          <w:ind w:left="1500" w:hanging="180"/>
        </w:pPr>
      </w:lvl>
    </w:lvlOverride>
    <w:lvlOverride w:ilvl="3">
      <w:startOverride w:val="1"/>
      <w:lvl w:ilvl="3" w:tplc="A20422E4">
        <w:start w:val="1"/>
        <w:numFmt w:val="decimal"/>
        <w:lvlText w:val="%4."/>
        <w:lvlJc w:val="right"/>
        <w:pPr>
          <w:ind w:left="2000" w:hanging="180"/>
        </w:pPr>
      </w:lvl>
    </w:lvlOverride>
    <w:lvlOverride w:ilvl="4">
      <w:startOverride w:val="1"/>
      <w:lvl w:ilvl="4" w:tplc="EBE425D2">
        <w:start w:val="1"/>
        <w:numFmt w:val="decimal"/>
        <w:lvlText w:val="%5."/>
        <w:lvlJc w:val="right"/>
        <w:pPr>
          <w:ind w:left="2500" w:hanging="180"/>
        </w:pPr>
      </w:lvl>
    </w:lvlOverride>
    <w:lvlOverride w:ilvl="5">
      <w:startOverride w:val="1"/>
      <w:lvl w:ilvl="5" w:tplc="3CC822BA">
        <w:start w:val="1"/>
        <w:numFmt w:val="decimal"/>
        <w:lvlText w:val="%6."/>
        <w:lvlJc w:val="right"/>
        <w:pPr>
          <w:ind w:left="3000" w:hanging="180"/>
        </w:pPr>
      </w:lvl>
    </w:lvlOverride>
    <w:lvlOverride w:ilvl="6">
      <w:startOverride w:val="1"/>
      <w:lvl w:ilvl="6" w:tplc="BDDE601A">
        <w:start w:val="1"/>
        <w:numFmt w:val="decimal"/>
        <w:lvlText w:val="%7."/>
        <w:lvlJc w:val="right"/>
        <w:pPr>
          <w:ind w:left="3500" w:hanging="180"/>
        </w:pPr>
      </w:lvl>
    </w:lvlOverride>
    <w:lvlOverride w:ilvl="7">
      <w:startOverride w:val="1"/>
      <w:lvl w:ilvl="7" w:tplc="49A6BB66">
        <w:start w:val="1"/>
        <w:numFmt w:val="decimal"/>
        <w:lvlText w:val="%8."/>
        <w:lvlJc w:val="right"/>
        <w:pPr>
          <w:ind w:left="4000" w:hanging="180"/>
        </w:pPr>
      </w:lvl>
    </w:lvlOverride>
    <w:lvlOverride w:ilvl="8">
      <w:startOverride w:val="1"/>
      <w:lvl w:ilvl="8" w:tplc="C3EA8646">
        <w:start w:val="1"/>
        <w:numFmt w:val="decimal"/>
        <w:lvlText w:val="%9."/>
        <w:lvlJc w:val="right"/>
        <w:pPr>
          <w:ind w:left="4500" w:hanging="180"/>
        </w:pPr>
      </w:lvl>
    </w:lvlOverride>
  </w:num>
  <w:num w:numId="13">
    <w:abstractNumId w:val="17"/>
    <w:lvlOverride w:ilvl="0">
      <w:startOverride w:val="1"/>
      <w:lvl w:ilvl="0" w:tplc="A6FEE1F8">
        <w:start w:val="1"/>
        <w:numFmt w:val="bullet"/>
        <w:lvlText w:val=""/>
        <w:lvlJc w:val="right"/>
        <w:pPr>
          <w:ind w:left="500" w:hanging="180"/>
        </w:pPr>
        <w:rPr>
          <w:rFonts w:ascii="Symbol" w:hAnsi="Symbol" w:hint="default"/>
        </w:rPr>
      </w:lvl>
    </w:lvlOverride>
    <w:lvlOverride w:ilvl="1">
      <w:startOverride w:val="1"/>
      <w:lvl w:ilvl="1" w:tplc="9CE6BBD0">
        <w:start w:val="1"/>
        <w:numFmt w:val="decimal"/>
        <w:lvlText w:val="%2."/>
        <w:lvlJc w:val="right"/>
        <w:pPr>
          <w:ind w:left="1000" w:hanging="180"/>
        </w:pPr>
      </w:lvl>
    </w:lvlOverride>
    <w:lvlOverride w:ilvl="2">
      <w:startOverride w:val="1"/>
      <w:lvl w:ilvl="2" w:tplc="C676374A">
        <w:start w:val="1"/>
        <w:numFmt w:val="decimal"/>
        <w:lvlText w:val="%3."/>
        <w:lvlJc w:val="right"/>
        <w:pPr>
          <w:ind w:left="1500" w:hanging="180"/>
        </w:pPr>
      </w:lvl>
    </w:lvlOverride>
    <w:lvlOverride w:ilvl="3">
      <w:startOverride w:val="1"/>
      <w:lvl w:ilvl="3" w:tplc="A20422E4">
        <w:start w:val="1"/>
        <w:numFmt w:val="decimal"/>
        <w:lvlText w:val="%4."/>
        <w:lvlJc w:val="right"/>
        <w:pPr>
          <w:ind w:left="2000" w:hanging="180"/>
        </w:pPr>
      </w:lvl>
    </w:lvlOverride>
    <w:lvlOverride w:ilvl="4">
      <w:startOverride w:val="1"/>
      <w:lvl w:ilvl="4" w:tplc="EBE425D2">
        <w:start w:val="1"/>
        <w:numFmt w:val="decimal"/>
        <w:lvlText w:val="%5."/>
        <w:lvlJc w:val="right"/>
        <w:pPr>
          <w:ind w:left="2500" w:hanging="180"/>
        </w:pPr>
      </w:lvl>
    </w:lvlOverride>
    <w:lvlOverride w:ilvl="5">
      <w:startOverride w:val="1"/>
      <w:lvl w:ilvl="5" w:tplc="3CC822BA">
        <w:start w:val="1"/>
        <w:numFmt w:val="decimal"/>
        <w:lvlText w:val="%6."/>
        <w:lvlJc w:val="right"/>
        <w:pPr>
          <w:ind w:left="3000" w:hanging="180"/>
        </w:pPr>
      </w:lvl>
    </w:lvlOverride>
    <w:lvlOverride w:ilvl="6">
      <w:startOverride w:val="1"/>
      <w:lvl w:ilvl="6" w:tplc="BDDE601A">
        <w:start w:val="1"/>
        <w:numFmt w:val="decimal"/>
        <w:lvlText w:val="%7."/>
        <w:lvlJc w:val="right"/>
        <w:pPr>
          <w:ind w:left="3500" w:hanging="180"/>
        </w:pPr>
      </w:lvl>
    </w:lvlOverride>
    <w:lvlOverride w:ilvl="7">
      <w:startOverride w:val="1"/>
      <w:lvl w:ilvl="7" w:tplc="49A6BB66">
        <w:start w:val="1"/>
        <w:numFmt w:val="decimal"/>
        <w:lvlText w:val="%8."/>
        <w:lvlJc w:val="right"/>
        <w:pPr>
          <w:ind w:left="4000" w:hanging="180"/>
        </w:pPr>
      </w:lvl>
    </w:lvlOverride>
    <w:lvlOverride w:ilvl="8">
      <w:startOverride w:val="1"/>
      <w:lvl w:ilvl="8" w:tplc="C3EA8646">
        <w:start w:val="1"/>
        <w:numFmt w:val="decimal"/>
        <w:lvlText w:val="%9."/>
        <w:lvlJc w:val="right"/>
        <w:pPr>
          <w:ind w:left="4500" w:hanging="180"/>
        </w:pPr>
      </w:lvl>
    </w:lvlOverride>
  </w:num>
  <w:num w:numId="14">
    <w:abstractNumId w:val="21"/>
    <w:lvlOverride w:ilvl="0">
      <w:startOverride w:val="1"/>
      <w:lvl w:ilvl="0" w:tplc="65D28B9C">
        <w:start w:val="1"/>
        <w:numFmt w:val="bullet"/>
        <w:lvlText w:val=""/>
        <w:lvlJc w:val="right"/>
        <w:pPr>
          <w:ind w:left="500" w:hanging="180"/>
        </w:pPr>
        <w:rPr>
          <w:rFonts w:ascii="Symbol" w:hAnsi="Symbol" w:hint="default"/>
        </w:rPr>
      </w:lvl>
    </w:lvlOverride>
    <w:lvlOverride w:ilvl="1">
      <w:startOverride w:val="1"/>
      <w:lvl w:ilvl="1" w:tplc="7722CF94">
        <w:start w:val="1"/>
        <w:numFmt w:val="decimal"/>
        <w:lvlText w:val="%2."/>
        <w:lvlJc w:val="right"/>
        <w:pPr>
          <w:ind w:left="1000" w:hanging="180"/>
        </w:pPr>
      </w:lvl>
    </w:lvlOverride>
    <w:lvlOverride w:ilvl="2">
      <w:startOverride w:val="1"/>
      <w:lvl w:ilvl="2" w:tplc="04B2A230">
        <w:start w:val="1"/>
        <w:numFmt w:val="decimal"/>
        <w:lvlText w:val="%3."/>
        <w:lvlJc w:val="right"/>
        <w:pPr>
          <w:ind w:left="1500" w:hanging="180"/>
        </w:pPr>
      </w:lvl>
    </w:lvlOverride>
    <w:lvlOverride w:ilvl="3">
      <w:startOverride w:val="1"/>
      <w:lvl w:ilvl="3" w:tplc="AAF06AA6">
        <w:start w:val="1"/>
        <w:numFmt w:val="decimal"/>
        <w:lvlText w:val="%4."/>
        <w:lvlJc w:val="right"/>
        <w:pPr>
          <w:ind w:left="2000" w:hanging="180"/>
        </w:pPr>
      </w:lvl>
    </w:lvlOverride>
    <w:lvlOverride w:ilvl="4">
      <w:startOverride w:val="1"/>
      <w:lvl w:ilvl="4" w:tplc="D3D8A00A">
        <w:start w:val="1"/>
        <w:numFmt w:val="decimal"/>
        <w:lvlText w:val="%5."/>
        <w:lvlJc w:val="right"/>
        <w:pPr>
          <w:ind w:left="2500" w:hanging="180"/>
        </w:pPr>
      </w:lvl>
    </w:lvlOverride>
    <w:lvlOverride w:ilvl="5">
      <w:startOverride w:val="1"/>
      <w:lvl w:ilvl="5" w:tplc="2A880BCC">
        <w:start w:val="1"/>
        <w:numFmt w:val="decimal"/>
        <w:lvlText w:val="%6."/>
        <w:lvlJc w:val="right"/>
        <w:pPr>
          <w:ind w:left="3000" w:hanging="180"/>
        </w:pPr>
      </w:lvl>
    </w:lvlOverride>
    <w:lvlOverride w:ilvl="6">
      <w:startOverride w:val="1"/>
      <w:lvl w:ilvl="6" w:tplc="E626F72A">
        <w:start w:val="1"/>
        <w:numFmt w:val="decimal"/>
        <w:lvlText w:val="%7."/>
        <w:lvlJc w:val="right"/>
        <w:pPr>
          <w:ind w:left="3500" w:hanging="180"/>
        </w:pPr>
      </w:lvl>
    </w:lvlOverride>
    <w:lvlOverride w:ilvl="7">
      <w:startOverride w:val="1"/>
      <w:lvl w:ilvl="7" w:tplc="A6E2CBA0">
        <w:start w:val="1"/>
        <w:numFmt w:val="decimal"/>
        <w:lvlText w:val="%8."/>
        <w:lvlJc w:val="right"/>
        <w:pPr>
          <w:ind w:left="4000" w:hanging="180"/>
        </w:pPr>
      </w:lvl>
    </w:lvlOverride>
    <w:lvlOverride w:ilvl="8">
      <w:startOverride w:val="1"/>
      <w:lvl w:ilvl="8" w:tplc="65C8354C">
        <w:start w:val="1"/>
        <w:numFmt w:val="decimal"/>
        <w:lvlText w:val="%9."/>
        <w:lvlJc w:val="right"/>
        <w:pPr>
          <w:ind w:left="4500" w:hanging="180"/>
        </w:pPr>
      </w:lvl>
    </w:lvlOverride>
  </w:num>
  <w:num w:numId="15">
    <w:abstractNumId w:val="5"/>
    <w:lvlOverride w:ilvl="0">
      <w:startOverride w:val="1"/>
      <w:lvl w:ilvl="0" w:tplc="2C66D4DA">
        <w:start w:val="1"/>
        <w:numFmt w:val="bullet"/>
        <w:lvlText w:val=""/>
        <w:lvlJc w:val="right"/>
        <w:pPr>
          <w:ind w:left="500" w:hanging="180"/>
        </w:pPr>
        <w:rPr>
          <w:rFonts w:ascii="Symbol" w:hAnsi="Symbol" w:hint="default"/>
        </w:rPr>
      </w:lvl>
    </w:lvlOverride>
    <w:lvlOverride w:ilvl="1">
      <w:startOverride w:val="1"/>
      <w:lvl w:ilvl="1" w:tplc="464EA352">
        <w:start w:val="1"/>
        <w:numFmt w:val="decimal"/>
        <w:lvlText w:val="%2."/>
        <w:lvlJc w:val="right"/>
        <w:pPr>
          <w:ind w:left="1000" w:hanging="180"/>
        </w:pPr>
      </w:lvl>
    </w:lvlOverride>
    <w:lvlOverride w:ilvl="2">
      <w:startOverride w:val="1"/>
      <w:lvl w:ilvl="2" w:tplc="2C38EABA">
        <w:start w:val="1"/>
        <w:numFmt w:val="decimal"/>
        <w:lvlText w:val="%3."/>
        <w:lvlJc w:val="right"/>
        <w:pPr>
          <w:ind w:left="1500" w:hanging="180"/>
        </w:pPr>
      </w:lvl>
    </w:lvlOverride>
    <w:lvlOverride w:ilvl="3">
      <w:startOverride w:val="1"/>
      <w:lvl w:ilvl="3" w:tplc="A5240A38">
        <w:start w:val="1"/>
        <w:numFmt w:val="decimal"/>
        <w:lvlText w:val="%4."/>
        <w:lvlJc w:val="right"/>
        <w:pPr>
          <w:ind w:left="2000" w:hanging="180"/>
        </w:pPr>
      </w:lvl>
    </w:lvlOverride>
    <w:lvlOverride w:ilvl="4">
      <w:startOverride w:val="1"/>
      <w:lvl w:ilvl="4" w:tplc="55B68854">
        <w:start w:val="1"/>
        <w:numFmt w:val="decimal"/>
        <w:lvlText w:val="%5."/>
        <w:lvlJc w:val="right"/>
        <w:pPr>
          <w:ind w:left="2500" w:hanging="180"/>
        </w:pPr>
      </w:lvl>
    </w:lvlOverride>
    <w:lvlOverride w:ilvl="5">
      <w:startOverride w:val="1"/>
      <w:lvl w:ilvl="5" w:tplc="9FF4CF40">
        <w:start w:val="1"/>
        <w:numFmt w:val="decimal"/>
        <w:lvlText w:val="%6."/>
        <w:lvlJc w:val="right"/>
        <w:pPr>
          <w:ind w:left="3000" w:hanging="180"/>
        </w:pPr>
      </w:lvl>
    </w:lvlOverride>
    <w:lvlOverride w:ilvl="6">
      <w:startOverride w:val="1"/>
      <w:lvl w:ilvl="6" w:tplc="4B1C073A">
        <w:start w:val="1"/>
        <w:numFmt w:val="decimal"/>
        <w:lvlText w:val="%7."/>
        <w:lvlJc w:val="right"/>
        <w:pPr>
          <w:ind w:left="3500" w:hanging="180"/>
        </w:pPr>
      </w:lvl>
    </w:lvlOverride>
    <w:lvlOverride w:ilvl="7">
      <w:startOverride w:val="1"/>
      <w:lvl w:ilvl="7" w:tplc="9AD69B8A">
        <w:start w:val="1"/>
        <w:numFmt w:val="decimal"/>
        <w:lvlText w:val="%8."/>
        <w:lvlJc w:val="right"/>
        <w:pPr>
          <w:ind w:left="4000" w:hanging="180"/>
        </w:pPr>
      </w:lvl>
    </w:lvlOverride>
    <w:lvlOverride w:ilvl="8">
      <w:startOverride w:val="1"/>
      <w:lvl w:ilvl="8" w:tplc="A51CCAC8">
        <w:start w:val="1"/>
        <w:numFmt w:val="decimal"/>
        <w:lvlText w:val="%9."/>
        <w:lvlJc w:val="right"/>
        <w:pPr>
          <w:ind w:left="4500" w:hanging="180"/>
        </w:pPr>
      </w:lvl>
    </w:lvlOverride>
  </w:num>
  <w:num w:numId="16">
    <w:abstractNumId w:val="2"/>
    <w:lvlOverride w:ilvl="0">
      <w:startOverride w:val="1"/>
      <w:lvl w:ilvl="0" w:tplc="B104806E">
        <w:start w:val="1"/>
        <w:numFmt w:val="bullet"/>
        <w:lvlText w:val=""/>
        <w:lvlJc w:val="right"/>
        <w:pPr>
          <w:ind w:left="500" w:hanging="180"/>
        </w:pPr>
        <w:rPr>
          <w:rFonts w:ascii="Symbol" w:hAnsi="Symbol" w:hint="default"/>
        </w:rPr>
      </w:lvl>
    </w:lvlOverride>
    <w:lvlOverride w:ilvl="1">
      <w:startOverride w:val="1"/>
      <w:lvl w:ilvl="1" w:tplc="7A80E554">
        <w:start w:val="1"/>
        <w:numFmt w:val="lowerRoman"/>
        <w:lvlText w:val="%2."/>
        <w:lvlJc w:val="right"/>
        <w:pPr>
          <w:ind w:left="1000" w:hanging="180"/>
        </w:pPr>
      </w:lvl>
    </w:lvlOverride>
    <w:lvlOverride w:ilvl="2">
      <w:startOverride w:val="1"/>
      <w:lvl w:ilvl="2" w:tplc="714E59A6">
        <w:start w:val="1"/>
        <w:numFmt w:val="decimal"/>
        <w:lvlText w:val="%3."/>
        <w:lvlJc w:val="right"/>
        <w:pPr>
          <w:ind w:left="1500" w:hanging="180"/>
        </w:pPr>
      </w:lvl>
    </w:lvlOverride>
    <w:lvlOverride w:ilvl="3">
      <w:startOverride w:val="1"/>
      <w:lvl w:ilvl="3" w:tplc="B07CFD48">
        <w:start w:val="1"/>
        <w:numFmt w:val="decimal"/>
        <w:lvlText w:val="%4."/>
        <w:lvlJc w:val="right"/>
        <w:pPr>
          <w:ind w:left="2000" w:hanging="180"/>
        </w:pPr>
      </w:lvl>
    </w:lvlOverride>
    <w:lvlOverride w:ilvl="4">
      <w:startOverride w:val="1"/>
      <w:lvl w:ilvl="4" w:tplc="5C4A16F2">
        <w:start w:val="1"/>
        <w:numFmt w:val="decimal"/>
        <w:lvlText w:val="%5."/>
        <w:lvlJc w:val="right"/>
        <w:pPr>
          <w:ind w:left="2500" w:hanging="180"/>
        </w:pPr>
      </w:lvl>
    </w:lvlOverride>
    <w:lvlOverride w:ilvl="5">
      <w:startOverride w:val="1"/>
      <w:lvl w:ilvl="5" w:tplc="907EB5DA">
        <w:start w:val="1"/>
        <w:numFmt w:val="decimal"/>
        <w:lvlText w:val="%6."/>
        <w:lvlJc w:val="right"/>
        <w:pPr>
          <w:ind w:left="3000" w:hanging="180"/>
        </w:pPr>
      </w:lvl>
    </w:lvlOverride>
    <w:lvlOverride w:ilvl="6">
      <w:startOverride w:val="1"/>
      <w:lvl w:ilvl="6" w:tplc="10CCA8EA">
        <w:start w:val="1"/>
        <w:numFmt w:val="decimal"/>
        <w:lvlText w:val="%7."/>
        <w:lvlJc w:val="right"/>
        <w:pPr>
          <w:ind w:left="3500" w:hanging="180"/>
        </w:pPr>
      </w:lvl>
    </w:lvlOverride>
    <w:lvlOverride w:ilvl="7">
      <w:startOverride w:val="1"/>
      <w:lvl w:ilvl="7" w:tplc="CC7A164A">
        <w:start w:val="1"/>
        <w:numFmt w:val="decimal"/>
        <w:lvlText w:val="%8."/>
        <w:lvlJc w:val="right"/>
        <w:pPr>
          <w:ind w:left="4000" w:hanging="180"/>
        </w:pPr>
      </w:lvl>
    </w:lvlOverride>
    <w:lvlOverride w:ilvl="8">
      <w:startOverride w:val="1"/>
      <w:lvl w:ilvl="8" w:tplc="6A049EF4">
        <w:start w:val="1"/>
        <w:numFmt w:val="decimal"/>
        <w:lvlText w:val="%9."/>
        <w:lvlJc w:val="right"/>
        <w:pPr>
          <w:ind w:left="4500" w:hanging="180"/>
        </w:pPr>
      </w:lvl>
    </w:lvlOverride>
  </w:num>
  <w:num w:numId="17">
    <w:abstractNumId w:val="24"/>
    <w:lvlOverride w:ilvl="0">
      <w:startOverride w:val="1"/>
      <w:lvl w:ilvl="0" w:tplc="0498BE98">
        <w:start w:val="1"/>
        <w:numFmt w:val="bullet"/>
        <w:lvlText w:val=""/>
        <w:lvlJc w:val="right"/>
        <w:pPr>
          <w:ind w:left="500" w:hanging="180"/>
        </w:pPr>
        <w:rPr>
          <w:rFonts w:ascii="Symbol" w:hAnsi="Symbol" w:hint="default"/>
        </w:rPr>
      </w:lvl>
    </w:lvlOverride>
    <w:lvlOverride w:ilvl="1">
      <w:startOverride w:val="1"/>
      <w:lvl w:ilvl="1" w:tplc="45AA1178">
        <w:start w:val="1"/>
        <w:numFmt w:val="decimal"/>
        <w:lvlText w:val="%2."/>
        <w:lvlJc w:val="right"/>
        <w:pPr>
          <w:ind w:left="1000" w:hanging="180"/>
        </w:pPr>
      </w:lvl>
    </w:lvlOverride>
    <w:lvlOverride w:ilvl="2">
      <w:startOverride w:val="1"/>
      <w:lvl w:ilvl="2" w:tplc="674C3C4E">
        <w:start w:val="1"/>
        <w:numFmt w:val="decimal"/>
        <w:lvlText w:val="%3."/>
        <w:lvlJc w:val="right"/>
        <w:pPr>
          <w:ind w:left="1500" w:hanging="180"/>
        </w:pPr>
      </w:lvl>
    </w:lvlOverride>
    <w:lvlOverride w:ilvl="3">
      <w:startOverride w:val="1"/>
      <w:lvl w:ilvl="3" w:tplc="C8CA6108">
        <w:start w:val="1"/>
        <w:numFmt w:val="decimal"/>
        <w:lvlText w:val="%4."/>
        <w:lvlJc w:val="right"/>
        <w:pPr>
          <w:ind w:left="2000" w:hanging="180"/>
        </w:pPr>
      </w:lvl>
    </w:lvlOverride>
    <w:lvlOverride w:ilvl="4">
      <w:startOverride w:val="1"/>
      <w:lvl w:ilvl="4" w:tplc="FEA83740">
        <w:start w:val="1"/>
        <w:numFmt w:val="decimal"/>
        <w:lvlText w:val="%5."/>
        <w:lvlJc w:val="right"/>
        <w:pPr>
          <w:ind w:left="2500" w:hanging="180"/>
        </w:pPr>
      </w:lvl>
    </w:lvlOverride>
    <w:lvlOverride w:ilvl="5">
      <w:startOverride w:val="1"/>
      <w:lvl w:ilvl="5" w:tplc="DF229612">
        <w:start w:val="1"/>
        <w:numFmt w:val="decimal"/>
        <w:lvlText w:val="%6."/>
        <w:lvlJc w:val="right"/>
        <w:pPr>
          <w:ind w:left="3000" w:hanging="180"/>
        </w:pPr>
      </w:lvl>
    </w:lvlOverride>
    <w:lvlOverride w:ilvl="6">
      <w:startOverride w:val="1"/>
      <w:lvl w:ilvl="6" w:tplc="DED669F0">
        <w:start w:val="1"/>
        <w:numFmt w:val="decimal"/>
        <w:lvlText w:val="%7."/>
        <w:lvlJc w:val="right"/>
        <w:pPr>
          <w:ind w:left="3500" w:hanging="180"/>
        </w:pPr>
      </w:lvl>
    </w:lvlOverride>
    <w:lvlOverride w:ilvl="7">
      <w:startOverride w:val="1"/>
      <w:lvl w:ilvl="7" w:tplc="BC686F76">
        <w:start w:val="1"/>
        <w:numFmt w:val="decimal"/>
        <w:lvlText w:val="%8."/>
        <w:lvlJc w:val="right"/>
        <w:pPr>
          <w:ind w:left="4000" w:hanging="180"/>
        </w:pPr>
      </w:lvl>
    </w:lvlOverride>
    <w:lvlOverride w:ilvl="8">
      <w:startOverride w:val="1"/>
      <w:lvl w:ilvl="8" w:tplc="80B87E2A">
        <w:start w:val="1"/>
        <w:numFmt w:val="decimal"/>
        <w:lvlText w:val="%9."/>
        <w:lvlJc w:val="right"/>
        <w:pPr>
          <w:ind w:left="4500" w:hanging="180"/>
        </w:pPr>
      </w:lvl>
    </w:lvlOverride>
  </w:num>
  <w:num w:numId="18">
    <w:abstractNumId w:val="22"/>
    <w:lvlOverride w:ilvl="0">
      <w:startOverride w:val="1"/>
      <w:lvl w:ilvl="0" w:tplc="62C47A5E">
        <w:start w:val="1"/>
        <w:numFmt w:val="bullet"/>
        <w:lvlText w:val=""/>
        <w:lvlJc w:val="right"/>
        <w:pPr>
          <w:ind w:left="500" w:hanging="180"/>
        </w:pPr>
        <w:rPr>
          <w:rFonts w:ascii="Symbol" w:hAnsi="Symbol" w:hint="default"/>
        </w:rPr>
      </w:lvl>
    </w:lvlOverride>
    <w:lvlOverride w:ilvl="1">
      <w:startOverride w:val="1"/>
      <w:lvl w:ilvl="1" w:tplc="D9342670">
        <w:start w:val="1"/>
        <w:numFmt w:val="decimal"/>
        <w:lvlText w:val="%2."/>
        <w:lvlJc w:val="right"/>
        <w:pPr>
          <w:ind w:left="1000" w:hanging="180"/>
        </w:pPr>
      </w:lvl>
    </w:lvlOverride>
    <w:lvlOverride w:ilvl="2">
      <w:startOverride w:val="1"/>
      <w:lvl w:ilvl="2" w:tplc="01EADB42">
        <w:start w:val="1"/>
        <w:numFmt w:val="decimal"/>
        <w:lvlText w:val="%3."/>
        <w:lvlJc w:val="right"/>
        <w:pPr>
          <w:ind w:left="1500" w:hanging="180"/>
        </w:pPr>
      </w:lvl>
    </w:lvlOverride>
    <w:lvlOverride w:ilvl="3">
      <w:startOverride w:val="1"/>
      <w:lvl w:ilvl="3" w:tplc="242295C0">
        <w:start w:val="1"/>
        <w:numFmt w:val="decimal"/>
        <w:lvlText w:val="%4."/>
        <w:lvlJc w:val="right"/>
        <w:pPr>
          <w:ind w:left="2000" w:hanging="180"/>
        </w:pPr>
      </w:lvl>
    </w:lvlOverride>
    <w:lvlOverride w:ilvl="4">
      <w:startOverride w:val="1"/>
      <w:lvl w:ilvl="4" w:tplc="71647EC8">
        <w:start w:val="1"/>
        <w:numFmt w:val="decimal"/>
        <w:lvlText w:val="%5."/>
        <w:lvlJc w:val="right"/>
        <w:pPr>
          <w:ind w:left="2500" w:hanging="180"/>
        </w:pPr>
      </w:lvl>
    </w:lvlOverride>
    <w:lvlOverride w:ilvl="5">
      <w:startOverride w:val="1"/>
      <w:lvl w:ilvl="5" w:tplc="3376ADA6">
        <w:start w:val="1"/>
        <w:numFmt w:val="decimal"/>
        <w:lvlText w:val="%6."/>
        <w:lvlJc w:val="right"/>
        <w:pPr>
          <w:ind w:left="3000" w:hanging="180"/>
        </w:pPr>
      </w:lvl>
    </w:lvlOverride>
    <w:lvlOverride w:ilvl="6">
      <w:startOverride w:val="1"/>
      <w:lvl w:ilvl="6" w:tplc="6FAA3F14">
        <w:start w:val="1"/>
        <w:numFmt w:val="decimal"/>
        <w:lvlText w:val="%7."/>
        <w:lvlJc w:val="right"/>
        <w:pPr>
          <w:ind w:left="3500" w:hanging="180"/>
        </w:pPr>
      </w:lvl>
    </w:lvlOverride>
    <w:lvlOverride w:ilvl="7">
      <w:startOverride w:val="1"/>
      <w:lvl w:ilvl="7" w:tplc="4F747D3C">
        <w:start w:val="1"/>
        <w:numFmt w:val="decimal"/>
        <w:lvlText w:val="%8."/>
        <w:lvlJc w:val="right"/>
        <w:pPr>
          <w:ind w:left="4000" w:hanging="180"/>
        </w:pPr>
      </w:lvl>
    </w:lvlOverride>
    <w:lvlOverride w:ilvl="8">
      <w:startOverride w:val="1"/>
      <w:lvl w:ilvl="8" w:tplc="06042BE6">
        <w:start w:val="1"/>
        <w:numFmt w:val="decimal"/>
        <w:lvlText w:val="%9."/>
        <w:lvlJc w:val="right"/>
        <w:pPr>
          <w:ind w:left="4500" w:hanging="180"/>
        </w:pPr>
      </w:lvl>
    </w:lvlOverride>
  </w:num>
  <w:num w:numId="19">
    <w:abstractNumId w:val="18"/>
    <w:lvlOverride w:ilvl="0">
      <w:startOverride w:val="1"/>
      <w:lvl w:ilvl="0" w:tplc="544EBEDE">
        <w:start w:val="1"/>
        <w:numFmt w:val="bullet"/>
        <w:lvlText w:val=""/>
        <w:lvlJc w:val="right"/>
        <w:pPr>
          <w:ind w:left="500" w:hanging="180"/>
        </w:pPr>
        <w:rPr>
          <w:rFonts w:ascii="Symbol" w:hAnsi="Symbol" w:hint="default"/>
        </w:rPr>
      </w:lvl>
    </w:lvlOverride>
    <w:lvlOverride w:ilvl="1">
      <w:startOverride w:val="1"/>
      <w:lvl w:ilvl="1" w:tplc="DD64E0E0">
        <w:start w:val="1"/>
        <w:numFmt w:val="bullet"/>
        <w:lvlText w:val="o"/>
        <w:lvlJc w:val="right"/>
        <w:pPr>
          <w:ind w:left="1000" w:hanging="180"/>
        </w:pPr>
        <w:rPr>
          <w:rFonts w:ascii="Symbol" w:hAnsi="Symbol" w:hint="default"/>
        </w:rPr>
      </w:lvl>
    </w:lvlOverride>
    <w:lvlOverride w:ilvl="2">
      <w:startOverride w:val="1"/>
      <w:lvl w:ilvl="2" w:tplc="85B4BF50">
        <w:start w:val="1"/>
        <w:numFmt w:val="decimal"/>
        <w:lvlText w:val="%3."/>
        <w:lvlJc w:val="right"/>
        <w:pPr>
          <w:ind w:left="1500" w:hanging="180"/>
        </w:pPr>
      </w:lvl>
    </w:lvlOverride>
    <w:lvlOverride w:ilvl="3">
      <w:startOverride w:val="1"/>
      <w:lvl w:ilvl="3" w:tplc="06F8A8CE">
        <w:start w:val="1"/>
        <w:numFmt w:val="decimal"/>
        <w:lvlText w:val="%4."/>
        <w:lvlJc w:val="right"/>
        <w:pPr>
          <w:ind w:left="2000" w:hanging="180"/>
        </w:pPr>
      </w:lvl>
    </w:lvlOverride>
    <w:lvlOverride w:ilvl="4">
      <w:startOverride w:val="1"/>
      <w:lvl w:ilvl="4" w:tplc="691A8650">
        <w:start w:val="1"/>
        <w:numFmt w:val="decimal"/>
        <w:lvlText w:val="%5."/>
        <w:lvlJc w:val="right"/>
        <w:pPr>
          <w:ind w:left="2500" w:hanging="180"/>
        </w:pPr>
      </w:lvl>
    </w:lvlOverride>
    <w:lvlOverride w:ilvl="5">
      <w:startOverride w:val="1"/>
      <w:lvl w:ilvl="5" w:tplc="161A55AC">
        <w:start w:val="1"/>
        <w:numFmt w:val="decimal"/>
        <w:lvlText w:val="%6."/>
        <w:lvlJc w:val="right"/>
        <w:pPr>
          <w:ind w:left="3000" w:hanging="180"/>
        </w:pPr>
      </w:lvl>
    </w:lvlOverride>
    <w:lvlOverride w:ilvl="6">
      <w:startOverride w:val="1"/>
      <w:lvl w:ilvl="6" w:tplc="2D72E260">
        <w:start w:val="1"/>
        <w:numFmt w:val="decimal"/>
        <w:lvlText w:val="%7."/>
        <w:lvlJc w:val="right"/>
        <w:pPr>
          <w:ind w:left="3500" w:hanging="180"/>
        </w:pPr>
      </w:lvl>
    </w:lvlOverride>
    <w:lvlOverride w:ilvl="7">
      <w:startOverride w:val="1"/>
      <w:lvl w:ilvl="7" w:tplc="FD8C8D5E">
        <w:start w:val="1"/>
        <w:numFmt w:val="decimal"/>
        <w:lvlText w:val="%8."/>
        <w:lvlJc w:val="right"/>
        <w:pPr>
          <w:ind w:left="4000" w:hanging="180"/>
        </w:pPr>
      </w:lvl>
    </w:lvlOverride>
    <w:lvlOverride w:ilvl="8">
      <w:startOverride w:val="1"/>
      <w:lvl w:ilvl="8" w:tplc="D3445716">
        <w:start w:val="1"/>
        <w:numFmt w:val="decimal"/>
        <w:lvlText w:val="%9."/>
        <w:lvlJc w:val="right"/>
        <w:pPr>
          <w:ind w:left="4500" w:hanging="180"/>
        </w:pPr>
      </w:lvl>
    </w:lvlOverride>
  </w:num>
  <w:num w:numId="20">
    <w:abstractNumId w:val="14"/>
    <w:lvlOverride w:ilvl="0">
      <w:startOverride w:val="1"/>
      <w:lvl w:ilvl="0" w:tplc="AE209988">
        <w:start w:val="1"/>
        <w:numFmt w:val="bullet"/>
        <w:lvlText w:val=""/>
        <w:lvlJc w:val="right"/>
        <w:pPr>
          <w:ind w:left="500" w:hanging="180"/>
        </w:pPr>
        <w:rPr>
          <w:rFonts w:ascii="Symbol" w:hAnsi="Symbol" w:hint="default"/>
        </w:rPr>
      </w:lvl>
    </w:lvlOverride>
    <w:lvlOverride w:ilvl="1">
      <w:startOverride w:val="1"/>
      <w:lvl w:ilvl="1" w:tplc="90F232F8">
        <w:start w:val="1"/>
        <w:numFmt w:val="decimal"/>
        <w:lvlText w:val="%2."/>
        <w:lvlJc w:val="right"/>
        <w:pPr>
          <w:ind w:left="1000" w:hanging="180"/>
        </w:pPr>
      </w:lvl>
    </w:lvlOverride>
    <w:lvlOverride w:ilvl="2">
      <w:startOverride w:val="1"/>
      <w:lvl w:ilvl="2" w:tplc="9BEC1800">
        <w:start w:val="1"/>
        <w:numFmt w:val="decimal"/>
        <w:lvlText w:val="%3."/>
        <w:lvlJc w:val="right"/>
        <w:pPr>
          <w:ind w:left="1500" w:hanging="180"/>
        </w:pPr>
      </w:lvl>
    </w:lvlOverride>
    <w:lvlOverride w:ilvl="3">
      <w:startOverride w:val="1"/>
      <w:lvl w:ilvl="3" w:tplc="01F08BB4">
        <w:start w:val="1"/>
        <w:numFmt w:val="decimal"/>
        <w:lvlText w:val="%4."/>
        <w:lvlJc w:val="right"/>
        <w:pPr>
          <w:ind w:left="2000" w:hanging="180"/>
        </w:pPr>
      </w:lvl>
    </w:lvlOverride>
    <w:lvlOverride w:ilvl="4">
      <w:startOverride w:val="1"/>
      <w:lvl w:ilvl="4" w:tplc="07046B26">
        <w:start w:val="1"/>
        <w:numFmt w:val="decimal"/>
        <w:lvlText w:val="%5."/>
        <w:lvlJc w:val="right"/>
        <w:pPr>
          <w:ind w:left="2500" w:hanging="180"/>
        </w:pPr>
      </w:lvl>
    </w:lvlOverride>
    <w:lvlOverride w:ilvl="5">
      <w:startOverride w:val="1"/>
      <w:lvl w:ilvl="5" w:tplc="F942E2C6">
        <w:start w:val="1"/>
        <w:numFmt w:val="decimal"/>
        <w:lvlText w:val="%6."/>
        <w:lvlJc w:val="right"/>
        <w:pPr>
          <w:ind w:left="3000" w:hanging="180"/>
        </w:pPr>
      </w:lvl>
    </w:lvlOverride>
    <w:lvlOverride w:ilvl="6">
      <w:startOverride w:val="1"/>
      <w:lvl w:ilvl="6" w:tplc="6A84C636">
        <w:start w:val="1"/>
        <w:numFmt w:val="decimal"/>
        <w:lvlText w:val="%7."/>
        <w:lvlJc w:val="right"/>
        <w:pPr>
          <w:ind w:left="3500" w:hanging="180"/>
        </w:pPr>
      </w:lvl>
    </w:lvlOverride>
    <w:lvlOverride w:ilvl="7">
      <w:startOverride w:val="1"/>
      <w:lvl w:ilvl="7" w:tplc="AF7CD6A2">
        <w:start w:val="1"/>
        <w:numFmt w:val="decimal"/>
        <w:lvlText w:val="%8."/>
        <w:lvlJc w:val="right"/>
        <w:pPr>
          <w:ind w:left="4000" w:hanging="180"/>
        </w:pPr>
      </w:lvl>
    </w:lvlOverride>
    <w:lvlOverride w:ilvl="8">
      <w:startOverride w:val="1"/>
      <w:lvl w:ilvl="8" w:tplc="BF9419B0">
        <w:start w:val="1"/>
        <w:numFmt w:val="decimal"/>
        <w:lvlText w:val="%9."/>
        <w:lvlJc w:val="right"/>
        <w:pPr>
          <w:ind w:left="4500" w:hanging="180"/>
        </w:pPr>
      </w:lvl>
    </w:lvlOverride>
  </w:num>
  <w:num w:numId="21">
    <w:abstractNumId w:val="27"/>
    <w:lvlOverride w:ilvl="0">
      <w:startOverride w:val="1"/>
      <w:lvl w:ilvl="0" w:tplc="AAA8682E">
        <w:start w:val="1"/>
        <w:numFmt w:val="bullet"/>
        <w:lvlText w:val=""/>
        <w:lvlJc w:val="right"/>
        <w:pPr>
          <w:ind w:left="500" w:hanging="180"/>
        </w:pPr>
        <w:rPr>
          <w:rFonts w:ascii="Symbol" w:hAnsi="Symbol" w:hint="default"/>
        </w:rPr>
      </w:lvl>
    </w:lvlOverride>
    <w:lvlOverride w:ilvl="1">
      <w:startOverride w:val="1"/>
      <w:lvl w:ilvl="1" w:tplc="3FECC594">
        <w:start w:val="1"/>
        <w:numFmt w:val="decimal"/>
        <w:lvlText w:val="%2."/>
        <w:lvlJc w:val="right"/>
        <w:pPr>
          <w:ind w:left="1000" w:hanging="180"/>
        </w:pPr>
      </w:lvl>
    </w:lvlOverride>
    <w:lvlOverride w:ilvl="2">
      <w:startOverride w:val="1"/>
      <w:lvl w:ilvl="2" w:tplc="45BE1F00">
        <w:start w:val="1"/>
        <w:numFmt w:val="decimal"/>
        <w:lvlText w:val="%3."/>
        <w:lvlJc w:val="right"/>
        <w:pPr>
          <w:ind w:left="1500" w:hanging="180"/>
        </w:pPr>
      </w:lvl>
    </w:lvlOverride>
    <w:lvlOverride w:ilvl="3">
      <w:startOverride w:val="1"/>
      <w:lvl w:ilvl="3" w:tplc="93F47C1E">
        <w:start w:val="1"/>
        <w:numFmt w:val="decimal"/>
        <w:lvlText w:val="%4."/>
        <w:lvlJc w:val="right"/>
        <w:pPr>
          <w:ind w:left="2000" w:hanging="180"/>
        </w:pPr>
      </w:lvl>
    </w:lvlOverride>
    <w:lvlOverride w:ilvl="4">
      <w:startOverride w:val="1"/>
      <w:lvl w:ilvl="4" w:tplc="F8E87F54">
        <w:start w:val="1"/>
        <w:numFmt w:val="decimal"/>
        <w:lvlText w:val="%5."/>
        <w:lvlJc w:val="right"/>
        <w:pPr>
          <w:ind w:left="2500" w:hanging="180"/>
        </w:pPr>
      </w:lvl>
    </w:lvlOverride>
    <w:lvlOverride w:ilvl="5">
      <w:startOverride w:val="1"/>
      <w:lvl w:ilvl="5" w:tplc="2E1C2DD2">
        <w:start w:val="1"/>
        <w:numFmt w:val="decimal"/>
        <w:lvlText w:val="%6."/>
        <w:lvlJc w:val="right"/>
        <w:pPr>
          <w:ind w:left="3000" w:hanging="180"/>
        </w:pPr>
      </w:lvl>
    </w:lvlOverride>
    <w:lvlOverride w:ilvl="6">
      <w:startOverride w:val="1"/>
      <w:lvl w:ilvl="6" w:tplc="2FC89606">
        <w:start w:val="1"/>
        <w:numFmt w:val="decimal"/>
        <w:lvlText w:val="%7."/>
        <w:lvlJc w:val="right"/>
        <w:pPr>
          <w:ind w:left="3500" w:hanging="180"/>
        </w:pPr>
      </w:lvl>
    </w:lvlOverride>
    <w:lvlOverride w:ilvl="7">
      <w:startOverride w:val="1"/>
      <w:lvl w:ilvl="7" w:tplc="12D6E072">
        <w:start w:val="1"/>
        <w:numFmt w:val="decimal"/>
        <w:lvlText w:val="%8."/>
        <w:lvlJc w:val="right"/>
        <w:pPr>
          <w:ind w:left="4000" w:hanging="180"/>
        </w:pPr>
      </w:lvl>
    </w:lvlOverride>
    <w:lvlOverride w:ilvl="8">
      <w:startOverride w:val="1"/>
      <w:lvl w:ilvl="8" w:tplc="1ACC7B5C">
        <w:start w:val="1"/>
        <w:numFmt w:val="decimal"/>
        <w:lvlText w:val="%9."/>
        <w:lvlJc w:val="right"/>
        <w:pPr>
          <w:ind w:left="4500" w:hanging="180"/>
        </w:pPr>
      </w:lvl>
    </w:lvlOverride>
  </w:num>
  <w:num w:numId="22">
    <w:abstractNumId w:val="31"/>
    <w:lvlOverride w:ilvl="0">
      <w:startOverride w:val="1"/>
      <w:lvl w:ilvl="0" w:tplc="DA5CBB28">
        <w:start w:val="1"/>
        <w:numFmt w:val="bullet"/>
        <w:lvlText w:val=""/>
        <w:lvlJc w:val="right"/>
        <w:pPr>
          <w:ind w:left="500" w:hanging="180"/>
        </w:pPr>
        <w:rPr>
          <w:rFonts w:ascii="Symbol" w:hAnsi="Symbol" w:hint="default"/>
        </w:rPr>
      </w:lvl>
    </w:lvlOverride>
    <w:lvlOverride w:ilvl="1">
      <w:startOverride w:val="1"/>
      <w:lvl w:ilvl="1" w:tplc="61DCC944">
        <w:start w:val="1"/>
        <w:numFmt w:val="decimal"/>
        <w:lvlText w:val="%2."/>
        <w:lvlJc w:val="right"/>
        <w:pPr>
          <w:ind w:left="1000" w:hanging="180"/>
        </w:pPr>
      </w:lvl>
    </w:lvlOverride>
    <w:lvlOverride w:ilvl="2">
      <w:startOverride w:val="1"/>
      <w:lvl w:ilvl="2" w:tplc="B3ECE27C">
        <w:start w:val="1"/>
        <w:numFmt w:val="decimal"/>
        <w:lvlText w:val="%3."/>
        <w:lvlJc w:val="right"/>
        <w:pPr>
          <w:ind w:left="1500" w:hanging="180"/>
        </w:pPr>
      </w:lvl>
    </w:lvlOverride>
    <w:lvlOverride w:ilvl="3">
      <w:startOverride w:val="1"/>
      <w:lvl w:ilvl="3" w:tplc="38A22230">
        <w:start w:val="1"/>
        <w:numFmt w:val="decimal"/>
        <w:lvlText w:val="%4."/>
        <w:lvlJc w:val="right"/>
        <w:pPr>
          <w:ind w:left="2000" w:hanging="180"/>
        </w:pPr>
      </w:lvl>
    </w:lvlOverride>
    <w:lvlOverride w:ilvl="4">
      <w:startOverride w:val="1"/>
      <w:lvl w:ilvl="4" w:tplc="DF6E3B5E">
        <w:start w:val="1"/>
        <w:numFmt w:val="decimal"/>
        <w:lvlText w:val="%5."/>
        <w:lvlJc w:val="right"/>
        <w:pPr>
          <w:ind w:left="2500" w:hanging="180"/>
        </w:pPr>
      </w:lvl>
    </w:lvlOverride>
    <w:lvlOverride w:ilvl="5">
      <w:startOverride w:val="1"/>
      <w:lvl w:ilvl="5" w:tplc="E6169B40">
        <w:start w:val="1"/>
        <w:numFmt w:val="decimal"/>
        <w:lvlText w:val="%6."/>
        <w:lvlJc w:val="right"/>
        <w:pPr>
          <w:ind w:left="3000" w:hanging="180"/>
        </w:pPr>
      </w:lvl>
    </w:lvlOverride>
    <w:lvlOverride w:ilvl="6">
      <w:startOverride w:val="1"/>
      <w:lvl w:ilvl="6" w:tplc="70BEB82C">
        <w:start w:val="1"/>
        <w:numFmt w:val="decimal"/>
        <w:lvlText w:val="%7."/>
        <w:lvlJc w:val="right"/>
        <w:pPr>
          <w:ind w:left="3500" w:hanging="180"/>
        </w:pPr>
      </w:lvl>
    </w:lvlOverride>
    <w:lvlOverride w:ilvl="7">
      <w:startOverride w:val="1"/>
      <w:lvl w:ilvl="7" w:tplc="121E850A">
        <w:start w:val="1"/>
        <w:numFmt w:val="decimal"/>
        <w:lvlText w:val="%8."/>
        <w:lvlJc w:val="right"/>
        <w:pPr>
          <w:ind w:left="4000" w:hanging="180"/>
        </w:pPr>
      </w:lvl>
    </w:lvlOverride>
    <w:lvlOverride w:ilvl="8">
      <w:startOverride w:val="1"/>
      <w:lvl w:ilvl="8" w:tplc="3E4694DA">
        <w:start w:val="1"/>
        <w:numFmt w:val="decimal"/>
        <w:lvlText w:val="%9."/>
        <w:lvlJc w:val="right"/>
        <w:pPr>
          <w:ind w:left="4500" w:hanging="180"/>
        </w:pPr>
      </w:lvl>
    </w:lvlOverride>
  </w:num>
  <w:num w:numId="23">
    <w:abstractNumId w:val="33"/>
    <w:lvlOverride w:ilvl="0">
      <w:startOverride w:val="1"/>
      <w:lvl w:ilvl="0" w:tplc="B7640C9A">
        <w:start w:val="1"/>
        <w:numFmt w:val="bullet"/>
        <w:lvlText w:val=""/>
        <w:lvlJc w:val="right"/>
        <w:pPr>
          <w:ind w:left="500" w:hanging="180"/>
        </w:pPr>
        <w:rPr>
          <w:rFonts w:ascii="Symbol" w:hAnsi="Symbol" w:hint="default"/>
        </w:rPr>
      </w:lvl>
    </w:lvlOverride>
    <w:lvlOverride w:ilvl="1">
      <w:startOverride w:val="1"/>
      <w:lvl w:ilvl="1" w:tplc="F03EFCDC">
        <w:start w:val="1"/>
        <w:numFmt w:val="decimal"/>
        <w:lvlText w:val="%2."/>
        <w:lvlJc w:val="right"/>
        <w:pPr>
          <w:ind w:left="1000" w:hanging="180"/>
        </w:pPr>
      </w:lvl>
    </w:lvlOverride>
    <w:lvlOverride w:ilvl="2">
      <w:startOverride w:val="1"/>
      <w:lvl w:ilvl="2" w:tplc="2326E0EE">
        <w:start w:val="1"/>
        <w:numFmt w:val="decimal"/>
        <w:lvlText w:val="%3."/>
        <w:lvlJc w:val="right"/>
        <w:pPr>
          <w:ind w:left="1500" w:hanging="180"/>
        </w:pPr>
      </w:lvl>
    </w:lvlOverride>
    <w:lvlOverride w:ilvl="3">
      <w:startOverride w:val="1"/>
      <w:lvl w:ilvl="3" w:tplc="97A04622">
        <w:start w:val="1"/>
        <w:numFmt w:val="decimal"/>
        <w:lvlText w:val="%4."/>
        <w:lvlJc w:val="right"/>
        <w:pPr>
          <w:ind w:left="2000" w:hanging="180"/>
        </w:pPr>
      </w:lvl>
    </w:lvlOverride>
    <w:lvlOverride w:ilvl="4">
      <w:startOverride w:val="1"/>
      <w:lvl w:ilvl="4" w:tplc="03260046">
        <w:start w:val="1"/>
        <w:numFmt w:val="decimal"/>
        <w:lvlText w:val="%5."/>
        <w:lvlJc w:val="right"/>
        <w:pPr>
          <w:ind w:left="2500" w:hanging="180"/>
        </w:pPr>
      </w:lvl>
    </w:lvlOverride>
    <w:lvlOverride w:ilvl="5">
      <w:startOverride w:val="1"/>
      <w:lvl w:ilvl="5" w:tplc="E758A924">
        <w:start w:val="1"/>
        <w:numFmt w:val="decimal"/>
        <w:lvlText w:val="%6."/>
        <w:lvlJc w:val="right"/>
        <w:pPr>
          <w:ind w:left="3000" w:hanging="180"/>
        </w:pPr>
      </w:lvl>
    </w:lvlOverride>
    <w:lvlOverride w:ilvl="6">
      <w:startOverride w:val="1"/>
      <w:lvl w:ilvl="6" w:tplc="601EE508">
        <w:start w:val="1"/>
        <w:numFmt w:val="decimal"/>
        <w:lvlText w:val="%7."/>
        <w:lvlJc w:val="right"/>
        <w:pPr>
          <w:ind w:left="3500" w:hanging="180"/>
        </w:pPr>
      </w:lvl>
    </w:lvlOverride>
    <w:lvlOverride w:ilvl="7">
      <w:startOverride w:val="1"/>
      <w:lvl w:ilvl="7" w:tplc="272ABCF6">
        <w:start w:val="1"/>
        <w:numFmt w:val="decimal"/>
        <w:lvlText w:val="%8."/>
        <w:lvlJc w:val="right"/>
        <w:pPr>
          <w:ind w:left="4000" w:hanging="180"/>
        </w:pPr>
      </w:lvl>
    </w:lvlOverride>
    <w:lvlOverride w:ilvl="8">
      <w:startOverride w:val="1"/>
      <w:lvl w:ilvl="8" w:tplc="A8D43A8C">
        <w:start w:val="1"/>
        <w:numFmt w:val="decimal"/>
        <w:lvlText w:val="%9."/>
        <w:lvlJc w:val="right"/>
        <w:pPr>
          <w:ind w:left="4500" w:hanging="180"/>
        </w:pPr>
      </w:lvl>
    </w:lvlOverride>
  </w:num>
  <w:num w:numId="24">
    <w:abstractNumId w:val="29"/>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5">
    <w:abstractNumId w:val="6"/>
    <w:lvlOverride w:ilvl="0">
      <w:startOverride w:val="1"/>
      <w:lvl w:ilvl="0" w:tplc="3D80DEB4">
        <w:start w:val="1"/>
        <w:numFmt w:val="bullet"/>
        <w:lvlText w:val=""/>
        <w:lvlJc w:val="right"/>
        <w:pPr>
          <w:ind w:left="500" w:hanging="180"/>
        </w:pPr>
        <w:rPr>
          <w:rFonts w:ascii="Symbol" w:hAnsi="Symbol" w:hint="default"/>
        </w:rPr>
      </w:lvl>
    </w:lvlOverride>
    <w:lvlOverride w:ilvl="1">
      <w:startOverride w:val="1"/>
      <w:lvl w:ilvl="1" w:tplc="193A3824">
        <w:start w:val="1"/>
        <w:numFmt w:val="decimal"/>
        <w:lvlText w:val="%2."/>
        <w:lvlJc w:val="right"/>
        <w:pPr>
          <w:ind w:left="1000" w:hanging="180"/>
        </w:pPr>
      </w:lvl>
    </w:lvlOverride>
    <w:lvlOverride w:ilvl="2">
      <w:startOverride w:val="1"/>
      <w:lvl w:ilvl="2" w:tplc="2D7082EC">
        <w:start w:val="1"/>
        <w:numFmt w:val="decimal"/>
        <w:lvlText w:val="%3."/>
        <w:lvlJc w:val="right"/>
        <w:pPr>
          <w:ind w:left="1500" w:hanging="180"/>
        </w:pPr>
      </w:lvl>
    </w:lvlOverride>
    <w:lvlOverride w:ilvl="3">
      <w:startOverride w:val="1"/>
      <w:lvl w:ilvl="3" w:tplc="F5C2A90E">
        <w:start w:val="1"/>
        <w:numFmt w:val="decimal"/>
        <w:lvlText w:val="%4."/>
        <w:lvlJc w:val="right"/>
        <w:pPr>
          <w:ind w:left="2000" w:hanging="180"/>
        </w:pPr>
      </w:lvl>
    </w:lvlOverride>
    <w:lvlOverride w:ilvl="4">
      <w:startOverride w:val="1"/>
      <w:lvl w:ilvl="4" w:tplc="0134AA14">
        <w:start w:val="1"/>
        <w:numFmt w:val="decimal"/>
        <w:lvlText w:val="%5."/>
        <w:lvlJc w:val="right"/>
        <w:pPr>
          <w:ind w:left="2500" w:hanging="180"/>
        </w:pPr>
      </w:lvl>
    </w:lvlOverride>
    <w:lvlOverride w:ilvl="5">
      <w:startOverride w:val="1"/>
      <w:lvl w:ilvl="5" w:tplc="471A3168">
        <w:start w:val="1"/>
        <w:numFmt w:val="decimal"/>
        <w:lvlText w:val="%6."/>
        <w:lvlJc w:val="right"/>
        <w:pPr>
          <w:ind w:left="3000" w:hanging="180"/>
        </w:pPr>
      </w:lvl>
    </w:lvlOverride>
    <w:lvlOverride w:ilvl="6">
      <w:startOverride w:val="1"/>
      <w:lvl w:ilvl="6" w:tplc="A9687DE6">
        <w:start w:val="1"/>
        <w:numFmt w:val="decimal"/>
        <w:lvlText w:val="%7."/>
        <w:lvlJc w:val="right"/>
        <w:pPr>
          <w:ind w:left="3500" w:hanging="180"/>
        </w:pPr>
      </w:lvl>
    </w:lvlOverride>
    <w:lvlOverride w:ilvl="7">
      <w:startOverride w:val="1"/>
      <w:lvl w:ilvl="7" w:tplc="787C8D5C">
        <w:start w:val="1"/>
        <w:numFmt w:val="decimal"/>
        <w:lvlText w:val="%8."/>
        <w:lvlJc w:val="right"/>
        <w:pPr>
          <w:ind w:left="4000" w:hanging="180"/>
        </w:pPr>
      </w:lvl>
    </w:lvlOverride>
    <w:lvlOverride w:ilvl="8">
      <w:startOverride w:val="1"/>
      <w:lvl w:ilvl="8" w:tplc="A1FE31A8">
        <w:start w:val="1"/>
        <w:numFmt w:val="decimal"/>
        <w:lvlText w:val="%9."/>
        <w:lvlJc w:val="right"/>
        <w:pPr>
          <w:ind w:left="4500" w:hanging="180"/>
        </w:pPr>
      </w:lvl>
    </w:lvlOverride>
  </w:num>
  <w:num w:numId="26">
    <w:abstractNumId w:val="9"/>
    <w:lvlOverride w:ilvl="0">
      <w:startOverride w:val="1"/>
      <w:lvl w:ilvl="0" w:tplc="D3FE3276">
        <w:start w:val="1"/>
        <w:numFmt w:val="bullet"/>
        <w:lvlText w:val=""/>
        <w:lvlJc w:val="right"/>
        <w:pPr>
          <w:ind w:left="500" w:hanging="180"/>
        </w:pPr>
        <w:rPr>
          <w:rFonts w:ascii="Symbol" w:hAnsi="Symbol" w:hint="default"/>
        </w:rPr>
      </w:lvl>
    </w:lvlOverride>
    <w:lvlOverride w:ilvl="1">
      <w:startOverride w:val="1"/>
      <w:lvl w:ilvl="1" w:tplc="69E8730A">
        <w:start w:val="1"/>
        <w:numFmt w:val="decimal"/>
        <w:lvlText w:val="%2."/>
        <w:lvlJc w:val="right"/>
        <w:pPr>
          <w:ind w:left="1000" w:hanging="180"/>
        </w:pPr>
      </w:lvl>
    </w:lvlOverride>
    <w:lvlOverride w:ilvl="2">
      <w:startOverride w:val="1"/>
      <w:lvl w:ilvl="2" w:tplc="DE3090EC">
        <w:start w:val="1"/>
        <w:numFmt w:val="decimal"/>
        <w:lvlText w:val="%3."/>
        <w:lvlJc w:val="right"/>
        <w:pPr>
          <w:ind w:left="1500" w:hanging="180"/>
        </w:pPr>
      </w:lvl>
    </w:lvlOverride>
    <w:lvlOverride w:ilvl="3">
      <w:startOverride w:val="1"/>
      <w:lvl w:ilvl="3" w:tplc="545A84F4">
        <w:start w:val="1"/>
        <w:numFmt w:val="decimal"/>
        <w:lvlText w:val="%4."/>
        <w:lvlJc w:val="right"/>
        <w:pPr>
          <w:ind w:left="2000" w:hanging="180"/>
        </w:pPr>
      </w:lvl>
    </w:lvlOverride>
    <w:lvlOverride w:ilvl="4">
      <w:startOverride w:val="1"/>
      <w:lvl w:ilvl="4" w:tplc="E6785138">
        <w:start w:val="1"/>
        <w:numFmt w:val="decimal"/>
        <w:lvlText w:val="%5."/>
        <w:lvlJc w:val="right"/>
        <w:pPr>
          <w:ind w:left="2500" w:hanging="180"/>
        </w:pPr>
      </w:lvl>
    </w:lvlOverride>
    <w:lvlOverride w:ilvl="5">
      <w:startOverride w:val="1"/>
      <w:lvl w:ilvl="5" w:tplc="62FE4526">
        <w:start w:val="1"/>
        <w:numFmt w:val="decimal"/>
        <w:lvlText w:val="%6."/>
        <w:lvlJc w:val="right"/>
        <w:pPr>
          <w:ind w:left="3000" w:hanging="180"/>
        </w:pPr>
      </w:lvl>
    </w:lvlOverride>
    <w:lvlOverride w:ilvl="6">
      <w:startOverride w:val="1"/>
      <w:lvl w:ilvl="6" w:tplc="4FCEFB48">
        <w:start w:val="1"/>
        <w:numFmt w:val="decimal"/>
        <w:lvlText w:val="%7."/>
        <w:lvlJc w:val="right"/>
        <w:pPr>
          <w:ind w:left="3500" w:hanging="180"/>
        </w:pPr>
      </w:lvl>
    </w:lvlOverride>
    <w:lvlOverride w:ilvl="7">
      <w:startOverride w:val="1"/>
      <w:lvl w:ilvl="7" w:tplc="C5C241FC">
        <w:start w:val="1"/>
        <w:numFmt w:val="decimal"/>
        <w:lvlText w:val="%8."/>
        <w:lvlJc w:val="right"/>
        <w:pPr>
          <w:ind w:left="4000" w:hanging="180"/>
        </w:pPr>
      </w:lvl>
    </w:lvlOverride>
    <w:lvlOverride w:ilvl="8">
      <w:startOverride w:val="1"/>
      <w:lvl w:ilvl="8" w:tplc="F1FCEEBA">
        <w:start w:val="1"/>
        <w:numFmt w:val="decimal"/>
        <w:lvlText w:val="%9."/>
        <w:lvlJc w:val="right"/>
        <w:pPr>
          <w:ind w:left="4500" w:hanging="180"/>
        </w:pPr>
      </w:lvl>
    </w:lvlOverride>
  </w:num>
  <w:num w:numId="27">
    <w:abstractNumId w:val="12"/>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28">
    <w:abstractNumId w:val="12"/>
    <w:lvlOverride w:ilvl="0">
      <w:startOverride w:val="1"/>
      <w:lvl w:ilvl="0" w:tplc="7CA40BC8">
        <w:start w:val="1"/>
        <w:numFmt w:val="bullet"/>
        <w:pStyle w:val="NumberParagraphAlpha"/>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29">
    <w:abstractNumId w:val="20"/>
    <w:lvlOverride w:ilvl="0">
      <w:startOverride w:val="1"/>
      <w:lvl w:ilvl="0" w:tplc="896C9C98">
        <w:start w:val="1"/>
        <w:numFmt w:val="bullet"/>
        <w:lvlText w:val=""/>
        <w:lvlJc w:val="right"/>
        <w:pPr>
          <w:ind w:left="500" w:hanging="180"/>
        </w:pPr>
        <w:rPr>
          <w:rFonts w:ascii="Symbol" w:hAnsi="Symbol" w:hint="default"/>
        </w:rPr>
      </w:lvl>
    </w:lvlOverride>
    <w:lvlOverride w:ilvl="1">
      <w:startOverride w:val="1"/>
      <w:lvl w:ilvl="1" w:tplc="EA3E103A">
        <w:start w:val="1"/>
        <w:numFmt w:val="decimal"/>
        <w:lvlText w:val="%2."/>
        <w:lvlJc w:val="right"/>
        <w:pPr>
          <w:ind w:left="1000" w:hanging="180"/>
        </w:pPr>
      </w:lvl>
    </w:lvlOverride>
    <w:lvlOverride w:ilvl="2">
      <w:startOverride w:val="1"/>
      <w:lvl w:ilvl="2" w:tplc="FCB2E28C">
        <w:start w:val="1"/>
        <w:numFmt w:val="decimal"/>
        <w:lvlText w:val="%3."/>
        <w:lvlJc w:val="right"/>
        <w:pPr>
          <w:ind w:left="1500" w:hanging="180"/>
        </w:pPr>
      </w:lvl>
    </w:lvlOverride>
    <w:lvlOverride w:ilvl="3">
      <w:startOverride w:val="1"/>
      <w:lvl w:ilvl="3" w:tplc="B482911A">
        <w:start w:val="1"/>
        <w:numFmt w:val="decimal"/>
        <w:lvlText w:val="%4."/>
        <w:lvlJc w:val="right"/>
        <w:pPr>
          <w:ind w:left="2000" w:hanging="180"/>
        </w:pPr>
      </w:lvl>
    </w:lvlOverride>
    <w:lvlOverride w:ilvl="4">
      <w:startOverride w:val="1"/>
      <w:lvl w:ilvl="4" w:tplc="1F64AC50">
        <w:start w:val="1"/>
        <w:numFmt w:val="decimal"/>
        <w:lvlText w:val="%5."/>
        <w:lvlJc w:val="right"/>
        <w:pPr>
          <w:ind w:left="2500" w:hanging="180"/>
        </w:pPr>
      </w:lvl>
    </w:lvlOverride>
    <w:lvlOverride w:ilvl="5">
      <w:startOverride w:val="1"/>
      <w:lvl w:ilvl="5" w:tplc="EF8A4122">
        <w:start w:val="1"/>
        <w:numFmt w:val="decimal"/>
        <w:lvlText w:val="%6."/>
        <w:lvlJc w:val="right"/>
        <w:pPr>
          <w:ind w:left="3000" w:hanging="180"/>
        </w:pPr>
      </w:lvl>
    </w:lvlOverride>
    <w:lvlOverride w:ilvl="6">
      <w:startOverride w:val="1"/>
      <w:lvl w:ilvl="6" w:tplc="1FF42792">
        <w:start w:val="1"/>
        <w:numFmt w:val="decimal"/>
        <w:lvlText w:val="%7."/>
        <w:lvlJc w:val="right"/>
        <w:pPr>
          <w:ind w:left="3500" w:hanging="180"/>
        </w:pPr>
      </w:lvl>
    </w:lvlOverride>
    <w:lvlOverride w:ilvl="7">
      <w:startOverride w:val="1"/>
      <w:lvl w:ilvl="7" w:tplc="55924110">
        <w:start w:val="1"/>
        <w:numFmt w:val="decimal"/>
        <w:lvlText w:val="%8."/>
        <w:lvlJc w:val="right"/>
        <w:pPr>
          <w:ind w:left="4000" w:hanging="180"/>
        </w:pPr>
      </w:lvl>
    </w:lvlOverride>
    <w:lvlOverride w:ilvl="8">
      <w:startOverride w:val="1"/>
      <w:lvl w:ilvl="8" w:tplc="92D22D62">
        <w:start w:val="1"/>
        <w:numFmt w:val="decimal"/>
        <w:lvlText w:val="%9."/>
        <w:lvlJc w:val="right"/>
        <w:pPr>
          <w:ind w:left="4500" w:hanging="180"/>
        </w:pPr>
      </w:lvl>
    </w:lvlOverride>
  </w:num>
  <w:num w:numId="30">
    <w:abstractNumId w:val="3"/>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31">
    <w:abstractNumId w:val="19"/>
    <w:lvlOverride w:ilvl="0">
      <w:startOverride w:val="1"/>
      <w:lvl w:ilvl="0" w:tplc="AA3404AA">
        <w:start w:val="1"/>
        <w:numFmt w:val="bullet"/>
        <w:lvlText w:val=""/>
        <w:lvlJc w:val="right"/>
        <w:pPr>
          <w:ind w:left="500" w:hanging="180"/>
        </w:pPr>
        <w:rPr>
          <w:rFonts w:ascii="Symbol" w:hAnsi="Symbol" w:hint="default"/>
        </w:rPr>
      </w:lvl>
    </w:lvlOverride>
    <w:lvlOverride w:ilvl="1">
      <w:startOverride w:val="1"/>
      <w:lvl w:ilvl="1" w:tplc="4DDA101E">
        <w:start w:val="1"/>
        <w:numFmt w:val="decimal"/>
        <w:lvlText w:val="%2."/>
        <w:lvlJc w:val="right"/>
        <w:pPr>
          <w:ind w:left="1000" w:hanging="180"/>
        </w:pPr>
      </w:lvl>
    </w:lvlOverride>
    <w:lvlOverride w:ilvl="2">
      <w:startOverride w:val="1"/>
      <w:lvl w:ilvl="2" w:tplc="AF5E21D4">
        <w:start w:val="1"/>
        <w:numFmt w:val="decimal"/>
        <w:lvlText w:val="%3."/>
        <w:lvlJc w:val="right"/>
        <w:pPr>
          <w:ind w:left="1500" w:hanging="180"/>
        </w:pPr>
      </w:lvl>
    </w:lvlOverride>
    <w:lvlOverride w:ilvl="3">
      <w:startOverride w:val="1"/>
      <w:lvl w:ilvl="3" w:tplc="34EA5FE4">
        <w:start w:val="1"/>
        <w:numFmt w:val="decimal"/>
        <w:lvlText w:val="%4."/>
        <w:lvlJc w:val="right"/>
        <w:pPr>
          <w:ind w:left="2000" w:hanging="180"/>
        </w:pPr>
      </w:lvl>
    </w:lvlOverride>
    <w:lvlOverride w:ilvl="4">
      <w:startOverride w:val="1"/>
      <w:lvl w:ilvl="4" w:tplc="424836F0">
        <w:start w:val="1"/>
        <w:numFmt w:val="decimal"/>
        <w:lvlText w:val="%5."/>
        <w:lvlJc w:val="right"/>
        <w:pPr>
          <w:ind w:left="2500" w:hanging="180"/>
        </w:pPr>
      </w:lvl>
    </w:lvlOverride>
    <w:lvlOverride w:ilvl="5">
      <w:startOverride w:val="1"/>
      <w:lvl w:ilvl="5" w:tplc="FD542D06">
        <w:start w:val="1"/>
        <w:numFmt w:val="decimal"/>
        <w:lvlText w:val="%6."/>
        <w:lvlJc w:val="right"/>
        <w:pPr>
          <w:ind w:left="3000" w:hanging="180"/>
        </w:pPr>
      </w:lvl>
    </w:lvlOverride>
    <w:lvlOverride w:ilvl="6">
      <w:startOverride w:val="1"/>
      <w:lvl w:ilvl="6" w:tplc="BC5E0D62">
        <w:start w:val="1"/>
        <w:numFmt w:val="decimal"/>
        <w:lvlText w:val="%7."/>
        <w:lvlJc w:val="right"/>
        <w:pPr>
          <w:ind w:left="3500" w:hanging="180"/>
        </w:pPr>
      </w:lvl>
    </w:lvlOverride>
    <w:lvlOverride w:ilvl="7">
      <w:startOverride w:val="1"/>
      <w:lvl w:ilvl="7" w:tplc="D04A651E">
        <w:start w:val="1"/>
        <w:numFmt w:val="decimal"/>
        <w:lvlText w:val="%8."/>
        <w:lvlJc w:val="right"/>
        <w:pPr>
          <w:ind w:left="4000" w:hanging="180"/>
        </w:pPr>
      </w:lvl>
    </w:lvlOverride>
    <w:lvlOverride w:ilvl="8">
      <w:startOverride w:val="1"/>
      <w:lvl w:ilvl="8" w:tplc="ABAA3E46">
        <w:start w:val="1"/>
        <w:numFmt w:val="decimal"/>
        <w:lvlText w:val="%9."/>
        <w:lvlJc w:val="right"/>
        <w:pPr>
          <w:ind w:left="4500" w:hanging="180"/>
        </w:pPr>
      </w:lvl>
    </w:lvlOverride>
  </w:num>
  <w:num w:numId="32">
    <w:abstractNumId w:val="8"/>
    <w:lvlOverride w:ilvl="0">
      <w:startOverride w:val="1"/>
      <w:lvl w:ilvl="0" w:tplc="4362794A">
        <w:start w:val="1"/>
        <w:numFmt w:val="bullet"/>
        <w:lvlText w:val=""/>
        <w:lvlJc w:val="right"/>
        <w:pPr>
          <w:ind w:left="500" w:hanging="180"/>
        </w:pPr>
        <w:rPr>
          <w:rFonts w:ascii="Symbol" w:hAnsi="Symbol" w:hint="default"/>
        </w:rPr>
      </w:lvl>
    </w:lvlOverride>
    <w:lvlOverride w:ilvl="1">
      <w:startOverride w:val="1"/>
      <w:lvl w:ilvl="1" w:tplc="7B6C55B4">
        <w:start w:val="1"/>
        <w:numFmt w:val="decimal"/>
        <w:lvlText w:val="%2."/>
        <w:lvlJc w:val="right"/>
        <w:pPr>
          <w:ind w:left="1000" w:hanging="180"/>
        </w:pPr>
      </w:lvl>
    </w:lvlOverride>
    <w:lvlOverride w:ilvl="2">
      <w:startOverride w:val="1"/>
      <w:lvl w:ilvl="2" w:tplc="2D3E219A">
        <w:start w:val="1"/>
        <w:numFmt w:val="decimal"/>
        <w:lvlText w:val="%3."/>
        <w:lvlJc w:val="right"/>
        <w:pPr>
          <w:ind w:left="1500" w:hanging="180"/>
        </w:pPr>
      </w:lvl>
    </w:lvlOverride>
    <w:lvlOverride w:ilvl="3">
      <w:startOverride w:val="1"/>
      <w:lvl w:ilvl="3" w:tplc="86CA5FE0">
        <w:start w:val="1"/>
        <w:numFmt w:val="decimal"/>
        <w:lvlText w:val="%4."/>
        <w:lvlJc w:val="right"/>
        <w:pPr>
          <w:ind w:left="2000" w:hanging="180"/>
        </w:pPr>
      </w:lvl>
    </w:lvlOverride>
    <w:lvlOverride w:ilvl="4">
      <w:startOverride w:val="1"/>
      <w:lvl w:ilvl="4" w:tplc="A9DE2998">
        <w:start w:val="1"/>
        <w:numFmt w:val="decimal"/>
        <w:lvlText w:val="%5."/>
        <w:lvlJc w:val="right"/>
        <w:pPr>
          <w:ind w:left="2500" w:hanging="180"/>
        </w:pPr>
      </w:lvl>
    </w:lvlOverride>
    <w:lvlOverride w:ilvl="5">
      <w:startOverride w:val="1"/>
      <w:lvl w:ilvl="5" w:tplc="0C6E1C16">
        <w:start w:val="1"/>
        <w:numFmt w:val="decimal"/>
        <w:lvlText w:val="%6."/>
        <w:lvlJc w:val="right"/>
        <w:pPr>
          <w:ind w:left="3000" w:hanging="180"/>
        </w:pPr>
      </w:lvl>
    </w:lvlOverride>
    <w:lvlOverride w:ilvl="6">
      <w:startOverride w:val="1"/>
      <w:lvl w:ilvl="6" w:tplc="F5A2DB4E">
        <w:start w:val="1"/>
        <w:numFmt w:val="decimal"/>
        <w:lvlText w:val="%7."/>
        <w:lvlJc w:val="right"/>
        <w:pPr>
          <w:ind w:left="3500" w:hanging="180"/>
        </w:pPr>
      </w:lvl>
    </w:lvlOverride>
    <w:lvlOverride w:ilvl="7">
      <w:startOverride w:val="1"/>
      <w:lvl w:ilvl="7" w:tplc="C7CEAA28">
        <w:start w:val="1"/>
        <w:numFmt w:val="decimal"/>
        <w:lvlText w:val="%8."/>
        <w:lvlJc w:val="right"/>
        <w:pPr>
          <w:ind w:left="4000" w:hanging="180"/>
        </w:pPr>
      </w:lvl>
    </w:lvlOverride>
    <w:lvlOverride w:ilvl="8">
      <w:startOverride w:val="1"/>
      <w:lvl w:ilvl="8" w:tplc="32149E46">
        <w:start w:val="1"/>
        <w:numFmt w:val="decimal"/>
        <w:lvlText w:val="%9."/>
        <w:lvlJc w:val="right"/>
        <w:pPr>
          <w:ind w:left="4500" w:hanging="180"/>
        </w:pPr>
      </w:lvl>
    </w:lvlOverride>
  </w:num>
  <w:num w:numId="33">
    <w:abstractNumId w:val="8"/>
    <w:lvlOverride w:ilvl="0">
      <w:startOverride w:val="1"/>
      <w:lvl w:ilvl="0" w:tplc="4362794A">
        <w:start w:val="1"/>
        <w:numFmt w:val="bullet"/>
        <w:lvlText w:val=""/>
        <w:lvlJc w:val="right"/>
        <w:pPr>
          <w:ind w:left="500" w:hanging="180"/>
        </w:pPr>
        <w:rPr>
          <w:rFonts w:ascii="Symbol" w:hAnsi="Symbol" w:hint="default"/>
        </w:rPr>
      </w:lvl>
    </w:lvlOverride>
    <w:lvlOverride w:ilvl="1">
      <w:startOverride w:val="1"/>
      <w:lvl w:ilvl="1" w:tplc="7B6C55B4">
        <w:start w:val="1"/>
        <w:numFmt w:val="decimal"/>
        <w:lvlText w:val="%2."/>
        <w:lvlJc w:val="right"/>
        <w:pPr>
          <w:ind w:left="1000" w:hanging="180"/>
        </w:pPr>
      </w:lvl>
    </w:lvlOverride>
    <w:lvlOverride w:ilvl="2">
      <w:startOverride w:val="1"/>
      <w:lvl w:ilvl="2" w:tplc="2D3E219A">
        <w:start w:val="1"/>
        <w:numFmt w:val="decimal"/>
        <w:lvlText w:val="%3."/>
        <w:lvlJc w:val="right"/>
        <w:pPr>
          <w:ind w:left="1500" w:hanging="180"/>
        </w:pPr>
      </w:lvl>
    </w:lvlOverride>
    <w:lvlOverride w:ilvl="3">
      <w:startOverride w:val="1"/>
      <w:lvl w:ilvl="3" w:tplc="86CA5FE0">
        <w:start w:val="1"/>
        <w:numFmt w:val="decimal"/>
        <w:lvlText w:val="%4."/>
        <w:lvlJc w:val="right"/>
        <w:pPr>
          <w:ind w:left="2000" w:hanging="180"/>
        </w:pPr>
      </w:lvl>
    </w:lvlOverride>
    <w:lvlOverride w:ilvl="4">
      <w:startOverride w:val="1"/>
      <w:lvl w:ilvl="4" w:tplc="A9DE2998">
        <w:start w:val="1"/>
        <w:numFmt w:val="decimal"/>
        <w:lvlText w:val="%5."/>
        <w:lvlJc w:val="right"/>
        <w:pPr>
          <w:ind w:left="2500" w:hanging="180"/>
        </w:pPr>
      </w:lvl>
    </w:lvlOverride>
    <w:lvlOverride w:ilvl="5">
      <w:startOverride w:val="1"/>
      <w:lvl w:ilvl="5" w:tplc="0C6E1C16">
        <w:start w:val="1"/>
        <w:numFmt w:val="decimal"/>
        <w:lvlText w:val="%6."/>
        <w:lvlJc w:val="right"/>
        <w:pPr>
          <w:ind w:left="3000" w:hanging="180"/>
        </w:pPr>
      </w:lvl>
    </w:lvlOverride>
    <w:lvlOverride w:ilvl="6">
      <w:startOverride w:val="1"/>
      <w:lvl w:ilvl="6" w:tplc="F5A2DB4E">
        <w:start w:val="1"/>
        <w:numFmt w:val="decimal"/>
        <w:lvlText w:val="%7."/>
        <w:lvlJc w:val="right"/>
        <w:pPr>
          <w:ind w:left="3500" w:hanging="180"/>
        </w:pPr>
      </w:lvl>
    </w:lvlOverride>
    <w:lvlOverride w:ilvl="7">
      <w:startOverride w:val="1"/>
      <w:lvl w:ilvl="7" w:tplc="C7CEAA28">
        <w:start w:val="1"/>
        <w:numFmt w:val="decimal"/>
        <w:lvlText w:val="%8."/>
        <w:lvlJc w:val="right"/>
        <w:pPr>
          <w:ind w:left="4000" w:hanging="180"/>
        </w:pPr>
      </w:lvl>
    </w:lvlOverride>
    <w:lvlOverride w:ilvl="8">
      <w:startOverride w:val="1"/>
      <w:lvl w:ilvl="8" w:tplc="32149E46">
        <w:start w:val="1"/>
        <w:numFmt w:val="decimal"/>
        <w:lvlText w:val="%9."/>
        <w:lvlJc w:val="right"/>
        <w:pPr>
          <w:ind w:left="4500" w:hanging="180"/>
        </w:pPr>
      </w:lvl>
    </w:lvlOverride>
  </w:num>
  <w:num w:numId="34">
    <w:abstractNumId w:val="15"/>
    <w:lvlOverride w:ilvl="0">
      <w:startOverride w:val="1"/>
      <w:lvl w:ilvl="0" w:tplc="F54621F2">
        <w:start w:val="1"/>
        <w:numFmt w:val="bullet"/>
        <w:lvlText w:val=""/>
        <w:lvlJc w:val="right"/>
        <w:pPr>
          <w:ind w:left="500" w:hanging="180"/>
        </w:pPr>
        <w:rPr>
          <w:rFonts w:ascii="Symbol" w:hAnsi="Symbol" w:hint="default"/>
        </w:rPr>
      </w:lvl>
    </w:lvlOverride>
    <w:lvlOverride w:ilvl="1">
      <w:startOverride w:val="1"/>
      <w:lvl w:ilvl="1" w:tplc="AD6A5740">
        <w:start w:val="1"/>
        <w:numFmt w:val="decimal"/>
        <w:lvlText w:val="%2."/>
        <w:lvlJc w:val="right"/>
        <w:pPr>
          <w:ind w:left="1000" w:hanging="180"/>
        </w:pPr>
      </w:lvl>
    </w:lvlOverride>
    <w:lvlOverride w:ilvl="2">
      <w:startOverride w:val="1"/>
      <w:lvl w:ilvl="2" w:tplc="C6040508">
        <w:start w:val="1"/>
        <w:numFmt w:val="decimal"/>
        <w:lvlText w:val="%3."/>
        <w:lvlJc w:val="right"/>
        <w:pPr>
          <w:ind w:left="1500" w:hanging="180"/>
        </w:pPr>
      </w:lvl>
    </w:lvlOverride>
    <w:lvlOverride w:ilvl="3">
      <w:startOverride w:val="1"/>
      <w:lvl w:ilvl="3" w:tplc="7728948A">
        <w:start w:val="1"/>
        <w:numFmt w:val="decimal"/>
        <w:lvlText w:val="%4."/>
        <w:lvlJc w:val="right"/>
        <w:pPr>
          <w:ind w:left="2000" w:hanging="180"/>
        </w:pPr>
      </w:lvl>
    </w:lvlOverride>
    <w:lvlOverride w:ilvl="4">
      <w:startOverride w:val="1"/>
      <w:lvl w:ilvl="4" w:tplc="EE98F15C">
        <w:start w:val="1"/>
        <w:numFmt w:val="decimal"/>
        <w:lvlText w:val="%5."/>
        <w:lvlJc w:val="right"/>
        <w:pPr>
          <w:ind w:left="2500" w:hanging="180"/>
        </w:pPr>
      </w:lvl>
    </w:lvlOverride>
    <w:lvlOverride w:ilvl="5">
      <w:startOverride w:val="1"/>
      <w:lvl w:ilvl="5" w:tplc="F3362064">
        <w:start w:val="1"/>
        <w:numFmt w:val="decimal"/>
        <w:lvlText w:val="%6."/>
        <w:lvlJc w:val="right"/>
        <w:pPr>
          <w:ind w:left="3000" w:hanging="180"/>
        </w:pPr>
      </w:lvl>
    </w:lvlOverride>
    <w:lvlOverride w:ilvl="6">
      <w:startOverride w:val="1"/>
      <w:lvl w:ilvl="6" w:tplc="F7EA6F78">
        <w:start w:val="1"/>
        <w:numFmt w:val="decimal"/>
        <w:lvlText w:val="%7."/>
        <w:lvlJc w:val="right"/>
        <w:pPr>
          <w:ind w:left="3500" w:hanging="180"/>
        </w:pPr>
      </w:lvl>
    </w:lvlOverride>
    <w:lvlOverride w:ilvl="7">
      <w:startOverride w:val="1"/>
      <w:lvl w:ilvl="7" w:tplc="EA82FD66">
        <w:start w:val="1"/>
        <w:numFmt w:val="decimal"/>
        <w:lvlText w:val="%8."/>
        <w:lvlJc w:val="right"/>
        <w:pPr>
          <w:ind w:left="4000" w:hanging="180"/>
        </w:pPr>
      </w:lvl>
    </w:lvlOverride>
    <w:lvlOverride w:ilvl="8">
      <w:startOverride w:val="1"/>
      <w:lvl w:ilvl="8" w:tplc="F05EC9EE">
        <w:start w:val="1"/>
        <w:numFmt w:val="decimal"/>
        <w:lvlText w:val="%9."/>
        <w:lvlJc w:val="right"/>
        <w:pPr>
          <w:ind w:left="4500" w:hanging="180"/>
        </w:pPr>
      </w:lvl>
    </w:lvlOverride>
  </w:num>
  <w:num w:numId="35">
    <w:abstractNumId w:val="15"/>
    <w:lvlOverride w:ilvl="0">
      <w:startOverride w:val="1"/>
      <w:lvl w:ilvl="0" w:tplc="F54621F2">
        <w:start w:val="1"/>
        <w:numFmt w:val="bullet"/>
        <w:lvlText w:val=""/>
        <w:lvlJc w:val="right"/>
        <w:pPr>
          <w:ind w:left="500" w:hanging="180"/>
        </w:pPr>
        <w:rPr>
          <w:rFonts w:ascii="Symbol" w:hAnsi="Symbol" w:hint="default"/>
        </w:rPr>
      </w:lvl>
    </w:lvlOverride>
    <w:lvlOverride w:ilvl="1">
      <w:startOverride w:val="1"/>
      <w:lvl w:ilvl="1" w:tplc="AD6A5740">
        <w:start w:val="1"/>
        <w:numFmt w:val="decimal"/>
        <w:lvlText w:val="%2."/>
        <w:lvlJc w:val="right"/>
        <w:pPr>
          <w:ind w:left="1000" w:hanging="180"/>
        </w:pPr>
      </w:lvl>
    </w:lvlOverride>
    <w:lvlOverride w:ilvl="2">
      <w:startOverride w:val="1"/>
      <w:lvl w:ilvl="2" w:tplc="C6040508">
        <w:start w:val="1"/>
        <w:numFmt w:val="decimal"/>
        <w:lvlText w:val="%3."/>
        <w:lvlJc w:val="right"/>
        <w:pPr>
          <w:ind w:left="1500" w:hanging="180"/>
        </w:pPr>
      </w:lvl>
    </w:lvlOverride>
    <w:lvlOverride w:ilvl="3">
      <w:startOverride w:val="1"/>
      <w:lvl w:ilvl="3" w:tplc="7728948A">
        <w:start w:val="1"/>
        <w:numFmt w:val="decimal"/>
        <w:lvlText w:val="%4."/>
        <w:lvlJc w:val="right"/>
        <w:pPr>
          <w:ind w:left="2000" w:hanging="180"/>
        </w:pPr>
      </w:lvl>
    </w:lvlOverride>
    <w:lvlOverride w:ilvl="4">
      <w:startOverride w:val="1"/>
      <w:lvl w:ilvl="4" w:tplc="EE98F15C">
        <w:start w:val="1"/>
        <w:numFmt w:val="decimal"/>
        <w:lvlText w:val="%5."/>
        <w:lvlJc w:val="right"/>
        <w:pPr>
          <w:ind w:left="2500" w:hanging="180"/>
        </w:pPr>
      </w:lvl>
    </w:lvlOverride>
    <w:lvlOverride w:ilvl="5">
      <w:startOverride w:val="1"/>
      <w:lvl w:ilvl="5" w:tplc="F3362064">
        <w:start w:val="1"/>
        <w:numFmt w:val="decimal"/>
        <w:lvlText w:val="%6."/>
        <w:lvlJc w:val="right"/>
        <w:pPr>
          <w:ind w:left="3000" w:hanging="180"/>
        </w:pPr>
      </w:lvl>
    </w:lvlOverride>
    <w:lvlOverride w:ilvl="6">
      <w:startOverride w:val="1"/>
      <w:lvl w:ilvl="6" w:tplc="F7EA6F78">
        <w:start w:val="1"/>
        <w:numFmt w:val="decimal"/>
        <w:lvlText w:val="%7."/>
        <w:lvlJc w:val="right"/>
        <w:pPr>
          <w:ind w:left="3500" w:hanging="180"/>
        </w:pPr>
      </w:lvl>
    </w:lvlOverride>
    <w:lvlOverride w:ilvl="7">
      <w:startOverride w:val="1"/>
      <w:lvl w:ilvl="7" w:tplc="EA82FD66">
        <w:start w:val="1"/>
        <w:numFmt w:val="decimal"/>
        <w:lvlText w:val="%8."/>
        <w:lvlJc w:val="right"/>
        <w:pPr>
          <w:ind w:left="4000" w:hanging="180"/>
        </w:pPr>
      </w:lvl>
    </w:lvlOverride>
    <w:lvlOverride w:ilvl="8">
      <w:startOverride w:val="1"/>
      <w:lvl w:ilvl="8" w:tplc="F05EC9EE">
        <w:start w:val="1"/>
        <w:numFmt w:val="decimal"/>
        <w:lvlText w:val="%9."/>
        <w:lvlJc w:val="right"/>
        <w:pPr>
          <w:ind w:left="4500" w:hanging="180"/>
        </w:pPr>
      </w:lvl>
    </w:lvlOverride>
  </w:num>
  <w:num w:numId="36">
    <w:abstractNumId w:val="15"/>
    <w:lvlOverride w:ilvl="0">
      <w:startOverride w:val="1"/>
      <w:lvl w:ilvl="0" w:tplc="F54621F2">
        <w:start w:val="1"/>
        <w:numFmt w:val="bullet"/>
        <w:lvlText w:val=""/>
        <w:lvlJc w:val="right"/>
        <w:pPr>
          <w:ind w:left="500" w:hanging="180"/>
        </w:pPr>
        <w:rPr>
          <w:rFonts w:ascii="Symbol" w:hAnsi="Symbol" w:hint="default"/>
        </w:rPr>
      </w:lvl>
    </w:lvlOverride>
    <w:lvlOverride w:ilvl="1">
      <w:startOverride w:val="1"/>
      <w:lvl w:ilvl="1" w:tplc="AD6A5740">
        <w:start w:val="1"/>
        <w:numFmt w:val="decimal"/>
        <w:lvlText w:val="%2."/>
        <w:lvlJc w:val="right"/>
        <w:pPr>
          <w:ind w:left="1000" w:hanging="180"/>
        </w:pPr>
      </w:lvl>
    </w:lvlOverride>
    <w:lvlOverride w:ilvl="2">
      <w:startOverride w:val="1"/>
      <w:lvl w:ilvl="2" w:tplc="C6040508">
        <w:start w:val="1"/>
        <w:numFmt w:val="decimal"/>
        <w:lvlText w:val="%3."/>
        <w:lvlJc w:val="right"/>
        <w:pPr>
          <w:ind w:left="1500" w:hanging="180"/>
        </w:pPr>
      </w:lvl>
    </w:lvlOverride>
    <w:lvlOverride w:ilvl="3">
      <w:startOverride w:val="1"/>
      <w:lvl w:ilvl="3" w:tplc="7728948A">
        <w:start w:val="1"/>
        <w:numFmt w:val="decimal"/>
        <w:lvlText w:val="%4."/>
        <w:lvlJc w:val="right"/>
        <w:pPr>
          <w:ind w:left="2000" w:hanging="180"/>
        </w:pPr>
      </w:lvl>
    </w:lvlOverride>
    <w:lvlOverride w:ilvl="4">
      <w:startOverride w:val="1"/>
      <w:lvl w:ilvl="4" w:tplc="EE98F15C">
        <w:start w:val="1"/>
        <w:numFmt w:val="decimal"/>
        <w:lvlText w:val="%5."/>
        <w:lvlJc w:val="right"/>
        <w:pPr>
          <w:ind w:left="2500" w:hanging="180"/>
        </w:pPr>
      </w:lvl>
    </w:lvlOverride>
    <w:lvlOverride w:ilvl="5">
      <w:startOverride w:val="1"/>
      <w:lvl w:ilvl="5" w:tplc="F3362064">
        <w:start w:val="1"/>
        <w:numFmt w:val="decimal"/>
        <w:lvlText w:val="%6."/>
        <w:lvlJc w:val="right"/>
        <w:pPr>
          <w:ind w:left="3000" w:hanging="180"/>
        </w:pPr>
      </w:lvl>
    </w:lvlOverride>
    <w:lvlOverride w:ilvl="6">
      <w:startOverride w:val="1"/>
      <w:lvl w:ilvl="6" w:tplc="F7EA6F78">
        <w:start w:val="1"/>
        <w:numFmt w:val="decimal"/>
        <w:lvlText w:val="%7."/>
        <w:lvlJc w:val="right"/>
        <w:pPr>
          <w:ind w:left="3500" w:hanging="180"/>
        </w:pPr>
      </w:lvl>
    </w:lvlOverride>
    <w:lvlOverride w:ilvl="7">
      <w:startOverride w:val="1"/>
      <w:lvl w:ilvl="7" w:tplc="EA82FD66">
        <w:start w:val="1"/>
        <w:numFmt w:val="decimal"/>
        <w:lvlText w:val="%8."/>
        <w:lvlJc w:val="right"/>
        <w:pPr>
          <w:ind w:left="4000" w:hanging="180"/>
        </w:pPr>
      </w:lvl>
    </w:lvlOverride>
    <w:lvlOverride w:ilvl="8">
      <w:startOverride w:val="1"/>
      <w:lvl w:ilvl="8" w:tplc="F05EC9EE">
        <w:start w:val="1"/>
        <w:numFmt w:val="decimal"/>
        <w:lvlText w:val="%9."/>
        <w:lvlJc w:val="right"/>
        <w:pPr>
          <w:ind w:left="4500" w:hanging="180"/>
        </w:pPr>
      </w:lvl>
    </w:lvlOverride>
  </w:num>
  <w:num w:numId="37">
    <w:abstractNumId w:val="31"/>
    <w:lvlOverride w:ilvl="0">
      <w:startOverride w:val="1"/>
      <w:lvl w:ilvl="0" w:tplc="DA5CBB28">
        <w:start w:val="1"/>
        <w:numFmt w:val="bullet"/>
        <w:lvlText w:val=""/>
        <w:lvlJc w:val="right"/>
        <w:pPr>
          <w:ind w:left="500" w:hanging="180"/>
        </w:pPr>
        <w:rPr>
          <w:rFonts w:ascii="Symbol" w:hAnsi="Symbol" w:hint="default"/>
        </w:rPr>
      </w:lvl>
    </w:lvlOverride>
    <w:lvlOverride w:ilvl="1">
      <w:startOverride w:val="1"/>
      <w:lvl w:ilvl="1" w:tplc="61DCC944">
        <w:start w:val="1"/>
        <w:numFmt w:val="decimal"/>
        <w:lvlText w:val="%2."/>
        <w:lvlJc w:val="right"/>
        <w:pPr>
          <w:ind w:left="1000" w:hanging="180"/>
        </w:pPr>
      </w:lvl>
    </w:lvlOverride>
    <w:lvlOverride w:ilvl="2">
      <w:startOverride w:val="1"/>
      <w:lvl w:ilvl="2" w:tplc="B3ECE27C">
        <w:start w:val="1"/>
        <w:numFmt w:val="decimal"/>
        <w:lvlText w:val="%3."/>
        <w:lvlJc w:val="right"/>
        <w:pPr>
          <w:ind w:left="1500" w:hanging="180"/>
        </w:pPr>
      </w:lvl>
    </w:lvlOverride>
    <w:lvlOverride w:ilvl="3">
      <w:startOverride w:val="1"/>
      <w:lvl w:ilvl="3" w:tplc="38A22230">
        <w:start w:val="1"/>
        <w:numFmt w:val="decimal"/>
        <w:lvlText w:val="%4."/>
        <w:lvlJc w:val="right"/>
        <w:pPr>
          <w:ind w:left="2000" w:hanging="180"/>
        </w:pPr>
      </w:lvl>
    </w:lvlOverride>
    <w:lvlOverride w:ilvl="4">
      <w:startOverride w:val="1"/>
      <w:lvl w:ilvl="4" w:tplc="DF6E3B5E">
        <w:start w:val="1"/>
        <w:numFmt w:val="decimal"/>
        <w:lvlText w:val="%5."/>
        <w:lvlJc w:val="right"/>
        <w:pPr>
          <w:ind w:left="2500" w:hanging="180"/>
        </w:pPr>
      </w:lvl>
    </w:lvlOverride>
    <w:lvlOverride w:ilvl="5">
      <w:startOverride w:val="1"/>
      <w:lvl w:ilvl="5" w:tplc="E6169B40">
        <w:start w:val="1"/>
        <w:numFmt w:val="decimal"/>
        <w:lvlText w:val="%6."/>
        <w:lvlJc w:val="right"/>
        <w:pPr>
          <w:ind w:left="3000" w:hanging="180"/>
        </w:pPr>
      </w:lvl>
    </w:lvlOverride>
    <w:lvlOverride w:ilvl="6">
      <w:startOverride w:val="1"/>
      <w:lvl w:ilvl="6" w:tplc="70BEB82C">
        <w:start w:val="1"/>
        <w:numFmt w:val="decimal"/>
        <w:lvlText w:val="%7."/>
        <w:lvlJc w:val="right"/>
        <w:pPr>
          <w:ind w:left="3500" w:hanging="180"/>
        </w:pPr>
      </w:lvl>
    </w:lvlOverride>
    <w:lvlOverride w:ilvl="7">
      <w:startOverride w:val="1"/>
      <w:lvl w:ilvl="7" w:tplc="121E850A">
        <w:start w:val="1"/>
        <w:numFmt w:val="decimal"/>
        <w:lvlText w:val="%8."/>
        <w:lvlJc w:val="right"/>
        <w:pPr>
          <w:ind w:left="4000" w:hanging="180"/>
        </w:pPr>
      </w:lvl>
    </w:lvlOverride>
    <w:lvlOverride w:ilvl="8">
      <w:startOverride w:val="1"/>
      <w:lvl w:ilvl="8" w:tplc="3E4694DA">
        <w:start w:val="1"/>
        <w:numFmt w:val="decimal"/>
        <w:lvlText w:val="%9."/>
        <w:lvlJc w:val="right"/>
        <w:pPr>
          <w:ind w:left="4500" w:hanging="180"/>
        </w:pPr>
      </w:lvl>
    </w:lvlOverride>
  </w:num>
  <w:num w:numId="38">
    <w:abstractNumId w:val="34"/>
    <w:lvlOverride w:ilvl="0">
      <w:startOverride w:val="1"/>
      <w:lvl w:ilvl="0" w:tplc="C964744C">
        <w:start w:val="1"/>
        <w:numFmt w:val="bullet"/>
        <w:lvlText w:val=""/>
        <w:lvlJc w:val="right"/>
        <w:pPr>
          <w:ind w:left="500" w:hanging="180"/>
        </w:pPr>
        <w:rPr>
          <w:rFonts w:ascii="Symbol" w:hAnsi="Symbol" w:hint="default"/>
        </w:rPr>
      </w:lvl>
    </w:lvlOverride>
    <w:lvlOverride w:ilvl="1">
      <w:startOverride w:val="1"/>
      <w:lvl w:ilvl="1" w:tplc="104A4550">
        <w:start w:val="1"/>
        <w:numFmt w:val="decimal"/>
        <w:lvlText w:val="%2."/>
        <w:lvlJc w:val="right"/>
        <w:pPr>
          <w:ind w:left="1000" w:hanging="180"/>
        </w:pPr>
      </w:lvl>
    </w:lvlOverride>
    <w:lvlOverride w:ilvl="2">
      <w:startOverride w:val="1"/>
      <w:lvl w:ilvl="2" w:tplc="6F22DF76">
        <w:start w:val="1"/>
        <w:numFmt w:val="decimal"/>
        <w:lvlText w:val="%3."/>
        <w:lvlJc w:val="right"/>
        <w:pPr>
          <w:ind w:left="1500" w:hanging="180"/>
        </w:pPr>
      </w:lvl>
    </w:lvlOverride>
    <w:lvlOverride w:ilvl="3">
      <w:startOverride w:val="1"/>
      <w:lvl w:ilvl="3" w:tplc="64244328">
        <w:start w:val="1"/>
        <w:numFmt w:val="decimal"/>
        <w:lvlText w:val="%4."/>
        <w:lvlJc w:val="right"/>
        <w:pPr>
          <w:ind w:left="2000" w:hanging="180"/>
        </w:pPr>
      </w:lvl>
    </w:lvlOverride>
    <w:lvlOverride w:ilvl="4">
      <w:startOverride w:val="1"/>
      <w:lvl w:ilvl="4" w:tplc="CF1E512E">
        <w:start w:val="1"/>
        <w:numFmt w:val="decimal"/>
        <w:lvlText w:val="%5."/>
        <w:lvlJc w:val="right"/>
        <w:pPr>
          <w:ind w:left="2500" w:hanging="180"/>
        </w:pPr>
      </w:lvl>
    </w:lvlOverride>
    <w:lvlOverride w:ilvl="5">
      <w:startOverride w:val="1"/>
      <w:lvl w:ilvl="5" w:tplc="BF5EFEE2">
        <w:start w:val="1"/>
        <w:numFmt w:val="decimal"/>
        <w:lvlText w:val="%6."/>
        <w:lvlJc w:val="right"/>
        <w:pPr>
          <w:ind w:left="3000" w:hanging="180"/>
        </w:pPr>
      </w:lvl>
    </w:lvlOverride>
    <w:lvlOverride w:ilvl="6">
      <w:startOverride w:val="1"/>
      <w:lvl w:ilvl="6" w:tplc="D84C6E3A">
        <w:start w:val="1"/>
        <w:numFmt w:val="decimal"/>
        <w:lvlText w:val="%7."/>
        <w:lvlJc w:val="right"/>
        <w:pPr>
          <w:ind w:left="3500" w:hanging="180"/>
        </w:pPr>
      </w:lvl>
    </w:lvlOverride>
    <w:lvlOverride w:ilvl="7">
      <w:startOverride w:val="1"/>
      <w:lvl w:ilvl="7" w:tplc="31027578">
        <w:start w:val="1"/>
        <w:numFmt w:val="decimal"/>
        <w:lvlText w:val="%8."/>
        <w:lvlJc w:val="right"/>
        <w:pPr>
          <w:ind w:left="4000" w:hanging="180"/>
        </w:pPr>
      </w:lvl>
    </w:lvlOverride>
    <w:lvlOverride w:ilvl="8">
      <w:startOverride w:val="1"/>
      <w:lvl w:ilvl="8" w:tplc="E182FB6C">
        <w:start w:val="1"/>
        <w:numFmt w:val="decimal"/>
        <w:lvlText w:val="%9."/>
        <w:lvlJc w:val="right"/>
        <w:pPr>
          <w:ind w:left="4500" w:hanging="180"/>
        </w:pPr>
      </w:lvl>
    </w:lvlOverride>
  </w:num>
  <w:num w:numId="39">
    <w:abstractNumId w:val="34"/>
    <w:lvlOverride w:ilvl="0">
      <w:startOverride w:val="1"/>
      <w:lvl w:ilvl="0" w:tplc="C964744C">
        <w:start w:val="1"/>
        <w:numFmt w:val="bullet"/>
        <w:lvlText w:val=""/>
        <w:lvlJc w:val="right"/>
        <w:pPr>
          <w:ind w:left="500" w:hanging="180"/>
        </w:pPr>
        <w:rPr>
          <w:rFonts w:ascii="Symbol" w:hAnsi="Symbol" w:hint="default"/>
        </w:rPr>
      </w:lvl>
    </w:lvlOverride>
    <w:lvlOverride w:ilvl="1">
      <w:startOverride w:val="1"/>
      <w:lvl w:ilvl="1" w:tplc="104A4550">
        <w:start w:val="1"/>
        <w:numFmt w:val="decimal"/>
        <w:lvlText w:val="%2."/>
        <w:lvlJc w:val="right"/>
        <w:pPr>
          <w:ind w:left="1000" w:hanging="180"/>
        </w:pPr>
      </w:lvl>
    </w:lvlOverride>
    <w:lvlOverride w:ilvl="2">
      <w:startOverride w:val="1"/>
      <w:lvl w:ilvl="2" w:tplc="6F22DF76">
        <w:start w:val="1"/>
        <w:numFmt w:val="decimal"/>
        <w:lvlText w:val="%3."/>
        <w:lvlJc w:val="right"/>
        <w:pPr>
          <w:ind w:left="1500" w:hanging="180"/>
        </w:pPr>
      </w:lvl>
    </w:lvlOverride>
    <w:lvlOverride w:ilvl="3">
      <w:startOverride w:val="1"/>
      <w:lvl w:ilvl="3" w:tplc="64244328">
        <w:start w:val="1"/>
        <w:numFmt w:val="decimal"/>
        <w:lvlText w:val="%4."/>
        <w:lvlJc w:val="right"/>
        <w:pPr>
          <w:ind w:left="2000" w:hanging="180"/>
        </w:pPr>
      </w:lvl>
    </w:lvlOverride>
    <w:lvlOverride w:ilvl="4">
      <w:startOverride w:val="1"/>
      <w:lvl w:ilvl="4" w:tplc="CF1E512E">
        <w:start w:val="1"/>
        <w:numFmt w:val="decimal"/>
        <w:lvlText w:val="%5."/>
        <w:lvlJc w:val="right"/>
        <w:pPr>
          <w:ind w:left="2500" w:hanging="180"/>
        </w:pPr>
      </w:lvl>
    </w:lvlOverride>
    <w:lvlOverride w:ilvl="5">
      <w:startOverride w:val="1"/>
      <w:lvl w:ilvl="5" w:tplc="BF5EFEE2">
        <w:start w:val="1"/>
        <w:numFmt w:val="decimal"/>
        <w:lvlText w:val="%6."/>
        <w:lvlJc w:val="right"/>
        <w:pPr>
          <w:ind w:left="3000" w:hanging="180"/>
        </w:pPr>
      </w:lvl>
    </w:lvlOverride>
    <w:lvlOverride w:ilvl="6">
      <w:startOverride w:val="1"/>
      <w:lvl w:ilvl="6" w:tplc="D84C6E3A">
        <w:start w:val="1"/>
        <w:numFmt w:val="decimal"/>
        <w:lvlText w:val="%7."/>
        <w:lvlJc w:val="right"/>
        <w:pPr>
          <w:ind w:left="3500" w:hanging="180"/>
        </w:pPr>
      </w:lvl>
    </w:lvlOverride>
    <w:lvlOverride w:ilvl="7">
      <w:startOverride w:val="1"/>
      <w:lvl w:ilvl="7" w:tplc="31027578">
        <w:start w:val="1"/>
        <w:numFmt w:val="decimal"/>
        <w:lvlText w:val="%8."/>
        <w:lvlJc w:val="right"/>
        <w:pPr>
          <w:ind w:left="4000" w:hanging="180"/>
        </w:pPr>
      </w:lvl>
    </w:lvlOverride>
    <w:lvlOverride w:ilvl="8">
      <w:startOverride w:val="1"/>
      <w:lvl w:ilvl="8" w:tplc="E182FB6C">
        <w:start w:val="1"/>
        <w:numFmt w:val="decimal"/>
        <w:lvlText w:val="%9."/>
        <w:lvlJc w:val="right"/>
        <w:pPr>
          <w:ind w:left="4500" w:hanging="180"/>
        </w:pPr>
      </w:lvl>
    </w:lvlOverride>
  </w:num>
  <w:num w:numId="40">
    <w:abstractNumId w:val="34"/>
    <w:lvlOverride w:ilvl="0">
      <w:startOverride w:val="1"/>
      <w:lvl w:ilvl="0" w:tplc="C964744C">
        <w:start w:val="1"/>
        <w:numFmt w:val="bullet"/>
        <w:lvlText w:val=""/>
        <w:lvlJc w:val="right"/>
        <w:pPr>
          <w:ind w:left="500" w:hanging="180"/>
        </w:pPr>
        <w:rPr>
          <w:rFonts w:ascii="Symbol" w:hAnsi="Symbol" w:hint="default"/>
        </w:rPr>
      </w:lvl>
    </w:lvlOverride>
    <w:lvlOverride w:ilvl="1">
      <w:startOverride w:val="1"/>
      <w:lvl w:ilvl="1" w:tplc="104A4550">
        <w:start w:val="1"/>
        <w:numFmt w:val="decimal"/>
        <w:lvlText w:val="%2."/>
        <w:lvlJc w:val="right"/>
        <w:pPr>
          <w:ind w:left="1000" w:hanging="180"/>
        </w:pPr>
      </w:lvl>
    </w:lvlOverride>
    <w:lvlOverride w:ilvl="2">
      <w:startOverride w:val="1"/>
      <w:lvl w:ilvl="2" w:tplc="6F22DF76">
        <w:start w:val="1"/>
        <w:numFmt w:val="decimal"/>
        <w:lvlText w:val="%3."/>
        <w:lvlJc w:val="right"/>
        <w:pPr>
          <w:ind w:left="1500" w:hanging="180"/>
        </w:pPr>
      </w:lvl>
    </w:lvlOverride>
    <w:lvlOverride w:ilvl="3">
      <w:startOverride w:val="1"/>
      <w:lvl w:ilvl="3" w:tplc="64244328">
        <w:start w:val="1"/>
        <w:numFmt w:val="decimal"/>
        <w:lvlText w:val="%4."/>
        <w:lvlJc w:val="right"/>
        <w:pPr>
          <w:ind w:left="2000" w:hanging="180"/>
        </w:pPr>
      </w:lvl>
    </w:lvlOverride>
    <w:lvlOverride w:ilvl="4">
      <w:startOverride w:val="1"/>
      <w:lvl w:ilvl="4" w:tplc="CF1E512E">
        <w:start w:val="1"/>
        <w:numFmt w:val="decimal"/>
        <w:lvlText w:val="%5."/>
        <w:lvlJc w:val="right"/>
        <w:pPr>
          <w:ind w:left="2500" w:hanging="180"/>
        </w:pPr>
      </w:lvl>
    </w:lvlOverride>
    <w:lvlOverride w:ilvl="5">
      <w:startOverride w:val="1"/>
      <w:lvl w:ilvl="5" w:tplc="BF5EFEE2">
        <w:start w:val="1"/>
        <w:numFmt w:val="decimal"/>
        <w:lvlText w:val="%6."/>
        <w:lvlJc w:val="right"/>
        <w:pPr>
          <w:ind w:left="3000" w:hanging="180"/>
        </w:pPr>
      </w:lvl>
    </w:lvlOverride>
    <w:lvlOverride w:ilvl="6">
      <w:startOverride w:val="1"/>
      <w:lvl w:ilvl="6" w:tplc="D84C6E3A">
        <w:start w:val="1"/>
        <w:numFmt w:val="decimal"/>
        <w:lvlText w:val="%7."/>
        <w:lvlJc w:val="right"/>
        <w:pPr>
          <w:ind w:left="3500" w:hanging="180"/>
        </w:pPr>
      </w:lvl>
    </w:lvlOverride>
    <w:lvlOverride w:ilvl="7">
      <w:startOverride w:val="1"/>
      <w:lvl w:ilvl="7" w:tplc="31027578">
        <w:start w:val="1"/>
        <w:numFmt w:val="decimal"/>
        <w:lvlText w:val="%8."/>
        <w:lvlJc w:val="right"/>
        <w:pPr>
          <w:ind w:left="4000" w:hanging="180"/>
        </w:pPr>
      </w:lvl>
    </w:lvlOverride>
    <w:lvlOverride w:ilvl="8">
      <w:startOverride w:val="1"/>
      <w:lvl w:ilvl="8" w:tplc="E182FB6C">
        <w:start w:val="1"/>
        <w:numFmt w:val="decimal"/>
        <w:lvlText w:val="%9."/>
        <w:lvlJc w:val="right"/>
        <w:pPr>
          <w:ind w:left="4500" w:hanging="180"/>
        </w:pPr>
      </w:lvl>
    </w:lvlOverride>
  </w:num>
  <w:num w:numId="41">
    <w:abstractNumId w:val="29"/>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42">
    <w:abstractNumId w:val="29"/>
    <w:lvlOverride w:ilvl="0">
      <w:startOverride w:val="1"/>
      <w:lvl w:ilvl="0" w:tplc="E786B0D0">
        <w:start w:val="1"/>
        <w:numFmt w:val="lowerLetter"/>
        <w:lvlText w:val="%1."/>
        <w:lvlJc w:val="right"/>
        <w:pPr>
          <w:ind w:left="500" w:hanging="180"/>
        </w:p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43">
    <w:abstractNumId w:val="0"/>
    <w:lvlOverride w:ilvl="0">
      <w:startOverride w:val="1"/>
      <w:lvl w:ilvl="0" w:tplc="503C6974">
        <w:start w:val="1"/>
        <w:numFmt w:val="bullet"/>
        <w:lvlText w:val=""/>
        <w:lvlJc w:val="right"/>
        <w:pPr>
          <w:ind w:left="500" w:hanging="180"/>
        </w:pPr>
        <w:rPr>
          <w:rFonts w:ascii="Symbol" w:hAnsi="Symbol" w:hint="default"/>
        </w:rPr>
      </w:lvl>
    </w:lvlOverride>
    <w:lvlOverride w:ilvl="1">
      <w:startOverride w:val="1"/>
      <w:lvl w:ilvl="1" w:tplc="044AD678">
        <w:start w:val="1"/>
        <w:numFmt w:val="decimal"/>
        <w:lvlText w:val="%2."/>
        <w:lvlJc w:val="right"/>
        <w:pPr>
          <w:ind w:left="1000" w:hanging="180"/>
        </w:pPr>
      </w:lvl>
    </w:lvlOverride>
    <w:lvlOverride w:ilvl="2">
      <w:startOverride w:val="1"/>
      <w:lvl w:ilvl="2" w:tplc="4A1214E0">
        <w:start w:val="1"/>
        <w:numFmt w:val="decimal"/>
        <w:lvlText w:val="%3."/>
        <w:lvlJc w:val="right"/>
        <w:pPr>
          <w:ind w:left="1500" w:hanging="180"/>
        </w:pPr>
      </w:lvl>
    </w:lvlOverride>
    <w:lvlOverride w:ilvl="3">
      <w:startOverride w:val="1"/>
      <w:lvl w:ilvl="3" w:tplc="42A0876A">
        <w:start w:val="1"/>
        <w:numFmt w:val="decimal"/>
        <w:lvlText w:val="%4."/>
        <w:lvlJc w:val="right"/>
        <w:pPr>
          <w:ind w:left="2000" w:hanging="180"/>
        </w:pPr>
      </w:lvl>
    </w:lvlOverride>
    <w:lvlOverride w:ilvl="4">
      <w:startOverride w:val="1"/>
      <w:lvl w:ilvl="4" w:tplc="50EA9DCC">
        <w:start w:val="1"/>
        <w:numFmt w:val="decimal"/>
        <w:lvlText w:val="%5."/>
        <w:lvlJc w:val="right"/>
        <w:pPr>
          <w:ind w:left="2500" w:hanging="180"/>
        </w:pPr>
      </w:lvl>
    </w:lvlOverride>
    <w:lvlOverride w:ilvl="5">
      <w:startOverride w:val="1"/>
      <w:lvl w:ilvl="5" w:tplc="4C04A884">
        <w:start w:val="1"/>
        <w:numFmt w:val="decimal"/>
        <w:lvlText w:val="%6."/>
        <w:lvlJc w:val="right"/>
        <w:pPr>
          <w:ind w:left="3000" w:hanging="180"/>
        </w:pPr>
      </w:lvl>
    </w:lvlOverride>
    <w:lvlOverride w:ilvl="6">
      <w:startOverride w:val="1"/>
      <w:lvl w:ilvl="6" w:tplc="3B7451AA">
        <w:start w:val="1"/>
        <w:numFmt w:val="decimal"/>
        <w:lvlText w:val="%7."/>
        <w:lvlJc w:val="right"/>
        <w:pPr>
          <w:ind w:left="3500" w:hanging="180"/>
        </w:pPr>
      </w:lvl>
    </w:lvlOverride>
    <w:lvlOverride w:ilvl="7">
      <w:startOverride w:val="1"/>
      <w:lvl w:ilvl="7" w:tplc="60CE1B86">
        <w:start w:val="1"/>
        <w:numFmt w:val="decimal"/>
        <w:lvlText w:val="%8."/>
        <w:lvlJc w:val="right"/>
        <w:pPr>
          <w:ind w:left="4000" w:hanging="180"/>
        </w:pPr>
      </w:lvl>
    </w:lvlOverride>
    <w:lvlOverride w:ilvl="8">
      <w:startOverride w:val="1"/>
      <w:lvl w:ilvl="8" w:tplc="4AC4B636">
        <w:start w:val="1"/>
        <w:numFmt w:val="decimal"/>
        <w:lvlText w:val="%9."/>
        <w:lvlJc w:val="right"/>
        <w:pPr>
          <w:ind w:left="4500" w:hanging="180"/>
        </w:pPr>
      </w:lvl>
    </w:lvlOverride>
  </w:num>
  <w:num w:numId="44">
    <w:abstractNumId w:val="25"/>
    <w:lvlOverride w:ilvl="0">
      <w:startOverride w:val="1"/>
      <w:lvl w:ilvl="0" w:tplc="6FEAF72A">
        <w:start w:val="1"/>
        <w:numFmt w:val="bullet"/>
        <w:lvlText w:val=""/>
        <w:lvlJc w:val="right"/>
        <w:pPr>
          <w:ind w:left="500" w:hanging="180"/>
        </w:pPr>
        <w:rPr>
          <w:rFonts w:ascii="Symbol" w:hAnsi="Symbol" w:hint="default"/>
        </w:rPr>
      </w:lvl>
    </w:lvlOverride>
    <w:lvlOverride w:ilvl="1">
      <w:startOverride w:val="1"/>
      <w:lvl w:ilvl="1" w:tplc="C492BBCA">
        <w:start w:val="1"/>
        <w:numFmt w:val="decimal"/>
        <w:lvlText w:val="%2."/>
        <w:lvlJc w:val="right"/>
        <w:pPr>
          <w:ind w:left="1000" w:hanging="180"/>
        </w:pPr>
      </w:lvl>
    </w:lvlOverride>
    <w:lvlOverride w:ilvl="2">
      <w:startOverride w:val="1"/>
      <w:lvl w:ilvl="2" w:tplc="C87CDC60">
        <w:start w:val="1"/>
        <w:numFmt w:val="decimal"/>
        <w:lvlText w:val="%3."/>
        <w:lvlJc w:val="right"/>
        <w:pPr>
          <w:ind w:left="1500" w:hanging="180"/>
        </w:pPr>
      </w:lvl>
    </w:lvlOverride>
    <w:lvlOverride w:ilvl="3">
      <w:startOverride w:val="1"/>
      <w:lvl w:ilvl="3" w:tplc="07025B10">
        <w:start w:val="1"/>
        <w:numFmt w:val="decimal"/>
        <w:lvlText w:val="%4."/>
        <w:lvlJc w:val="right"/>
        <w:pPr>
          <w:ind w:left="2000" w:hanging="180"/>
        </w:pPr>
      </w:lvl>
    </w:lvlOverride>
    <w:lvlOverride w:ilvl="4">
      <w:startOverride w:val="1"/>
      <w:lvl w:ilvl="4" w:tplc="E71498C8">
        <w:start w:val="1"/>
        <w:numFmt w:val="decimal"/>
        <w:lvlText w:val="%5."/>
        <w:lvlJc w:val="right"/>
        <w:pPr>
          <w:ind w:left="2500" w:hanging="180"/>
        </w:pPr>
      </w:lvl>
    </w:lvlOverride>
    <w:lvlOverride w:ilvl="5">
      <w:startOverride w:val="1"/>
      <w:lvl w:ilvl="5" w:tplc="BE24F7FC">
        <w:start w:val="1"/>
        <w:numFmt w:val="decimal"/>
        <w:lvlText w:val="%6."/>
        <w:lvlJc w:val="right"/>
        <w:pPr>
          <w:ind w:left="3000" w:hanging="180"/>
        </w:pPr>
      </w:lvl>
    </w:lvlOverride>
    <w:lvlOverride w:ilvl="6">
      <w:startOverride w:val="1"/>
      <w:lvl w:ilvl="6" w:tplc="0D107894">
        <w:start w:val="1"/>
        <w:numFmt w:val="decimal"/>
        <w:lvlText w:val="%7."/>
        <w:lvlJc w:val="right"/>
        <w:pPr>
          <w:ind w:left="3500" w:hanging="180"/>
        </w:pPr>
      </w:lvl>
    </w:lvlOverride>
    <w:lvlOverride w:ilvl="7">
      <w:startOverride w:val="1"/>
      <w:lvl w:ilvl="7" w:tplc="5998B8CA">
        <w:start w:val="1"/>
        <w:numFmt w:val="decimal"/>
        <w:lvlText w:val="%8."/>
        <w:lvlJc w:val="right"/>
        <w:pPr>
          <w:ind w:left="4000" w:hanging="180"/>
        </w:pPr>
      </w:lvl>
    </w:lvlOverride>
    <w:lvlOverride w:ilvl="8">
      <w:startOverride w:val="1"/>
      <w:lvl w:ilvl="8" w:tplc="AD006ABE">
        <w:start w:val="1"/>
        <w:numFmt w:val="decimal"/>
        <w:lvlText w:val="%9."/>
        <w:lvlJc w:val="right"/>
        <w:pPr>
          <w:ind w:left="4500" w:hanging="180"/>
        </w:pPr>
      </w:lvl>
    </w:lvlOverride>
  </w:num>
  <w:num w:numId="45">
    <w:abstractNumId w:val="25"/>
    <w:lvlOverride w:ilvl="0">
      <w:startOverride w:val="1"/>
      <w:lvl w:ilvl="0" w:tplc="6FEAF72A">
        <w:start w:val="1"/>
        <w:numFmt w:val="bullet"/>
        <w:lvlText w:val=""/>
        <w:lvlJc w:val="right"/>
        <w:pPr>
          <w:ind w:left="500" w:hanging="180"/>
        </w:pPr>
        <w:rPr>
          <w:rFonts w:ascii="Symbol" w:hAnsi="Symbol" w:hint="default"/>
        </w:rPr>
      </w:lvl>
    </w:lvlOverride>
    <w:lvlOverride w:ilvl="1">
      <w:startOverride w:val="1"/>
      <w:lvl w:ilvl="1" w:tplc="C492BBCA">
        <w:start w:val="1"/>
        <w:numFmt w:val="decimal"/>
        <w:lvlText w:val="%2."/>
        <w:lvlJc w:val="right"/>
        <w:pPr>
          <w:ind w:left="1000" w:hanging="180"/>
        </w:pPr>
      </w:lvl>
    </w:lvlOverride>
    <w:lvlOverride w:ilvl="2">
      <w:startOverride w:val="1"/>
      <w:lvl w:ilvl="2" w:tplc="C87CDC60">
        <w:start w:val="1"/>
        <w:numFmt w:val="decimal"/>
        <w:lvlText w:val="%3."/>
        <w:lvlJc w:val="right"/>
        <w:pPr>
          <w:ind w:left="1500" w:hanging="180"/>
        </w:pPr>
      </w:lvl>
    </w:lvlOverride>
    <w:lvlOverride w:ilvl="3">
      <w:startOverride w:val="1"/>
      <w:lvl w:ilvl="3" w:tplc="07025B10">
        <w:start w:val="1"/>
        <w:numFmt w:val="decimal"/>
        <w:lvlText w:val="%4."/>
        <w:lvlJc w:val="right"/>
        <w:pPr>
          <w:ind w:left="2000" w:hanging="180"/>
        </w:pPr>
      </w:lvl>
    </w:lvlOverride>
    <w:lvlOverride w:ilvl="4">
      <w:startOverride w:val="1"/>
      <w:lvl w:ilvl="4" w:tplc="E71498C8">
        <w:start w:val="1"/>
        <w:numFmt w:val="decimal"/>
        <w:lvlText w:val="%5."/>
        <w:lvlJc w:val="right"/>
        <w:pPr>
          <w:ind w:left="2500" w:hanging="180"/>
        </w:pPr>
      </w:lvl>
    </w:lvlOverride>
    <w:lvlOverride w:ilvl="5">
      <w:startOverride w:val="1"/>
      <w:lvl w:ilvl="5" w:tplc="BE24F7FC">
        <w:start w:val="1"/>
        <w:numFmt w:val="decimal"/>
        <w:lvlText w:val="%6."/>
        <w:lvlJc w:val="right"/>
        <w:pPr>
          <w:ind w:left="3000" w:hanging="180"/>
        </w:pPr>
      </w:lvl>
    </w:lvlOverride>
    <w:lvlOverride w:ilvl="6">
      <w:startOverride w:val="1"/>
      <w:lvl w:ilvl="6" w:tplc="0D107894">
        <w:start w:val="1"/>
        <w:numFmt w:val="decimal"/>
        <w:lvlText w:val="%7."/>
        <w:lvlJc w:val="right"/>
        <w:pPr>
          <w:ind w:left="3500" w:hanging="180"/>
        </w:pPr>
      </w:lvl>
    </w:lvlOverride>
    <w:lvlOverride w:ilvl="7">
      <w:startOverride w:val="1"/>
      <w:lvl w:ilvl="7" w:tplc="5998B8CA">
        <w:start w:val="1"/>
        <w:numFmt w:val="decimal"/>
        <w:lvlText w:val="%8."/>
        <w:lvlJc w:val="right"/>
        <w:pPr>
          <w:ind w:left="4000" w:hanging="180"/>
        </w:pPr>
      </w:lvl>
    </w:lvlOverride>
    <w:lvlOverride w:ilvl="8">
      <w:startOverride w:val="1"/>
      <w:lvl w:ilvl="8" w:tplc="AD006ABE">
        <w:start w:val="1"/>
        <w:numFmt w:val="decimal"/>
        <w:lvlText w:val="%9."/>
        <w:lvlJc w:val="right"/>
        <w:pPr>
          <w:ind w:left="4500" w:hanging="180"/>
        </w:p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1FAE"/>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906F0"/>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4C75"/>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87C76"/>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21EA1"/>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435C977"/>
  <w15:docId w15:val="{40111896-E017-4526-AC3A-30830DC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FA"/>
    <w:pPr>
      <w:jc w:val="both"/>
    </w:pPr>
    <w:rPr>
      <w:rFonts w:ascii="Times New Roman" w:hAnsi="Times New Roman"/>
      <w:sz w:val="24"/>
    </w:rPr>
  </w:style>
  <w:style w:type="paragraph" w:styleId="Titre1">
    <w:name w:val="heading 1"/>
    <w:basedOn w:val="Normal"/>
    <w:next w:val="Normal"/>
    <w:link w:val="Titre1Car"/>
    <w:uiPriority w:val="9"/>
    <w:qFormat/>
    <w:rsid w:val="00953FBF"/>
    <w:pPr>
      <w:keepNext/>
      <w:keepLines/>
      <w:spacing w:before="480"/>
      <w:outlineLvl w:val="0"/>
    </w:pPr>
    <w:rPr>
      <w:rFonts w:eastAsiaTheme="majorEastAsia" w:cs="Times New Roman"/>
      <w:b/>
      <w:bCs/>
      <w:sz w:val="28"/>
      <w:szCs w:val="32"/>
    </w:rPr>
  </w:style>
  <w:style w:type="paragraph" w:styleId="Titre2">
    <w:name w:val="heading 2"/>
    <w:basedOn w:val="Normal"/>
    <w:next w:val="Normal"/>
    <w:link w:val="Titre2C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Titre3">
    <w:name w:val="heading 3"/>
    <w:basedOn w:val="Normal"/>
    <w:next w:val="Normal"/>
    <w:link w:val="Titre3Car"/>
    <w:uiPriority w:val="9"/>
    <w:unhideWhenUsed/>
    <w:qFormat/>
    <w:rsid w:val="006414B6"/>
    <w:pPr>
      <w:keepNext/>
      <w:keepLines/>
      <w:spacing w:before="200" w:after="0"/>
      <w:outlineLvl w:val="2"/>
    </w:pPr>
    <w:rPr>
      <w:rFonts w:eastAsiaTheme="majorEastAsia" w:cs="Times New Roman"/>
      <w:b/>
      <w:bCs/>
      <w:sz w:val="28"/>
      <w:szCs w:val="28"/>
    </w:rPr>
  </w:style>
  <w:style w:type="paragraph" w:styleId="Titre4">
    <w:name w:val="heading 4"/>
    <w:basedOn w:val="Normal"/>
    <w:next w:val="Normal"/>
    <w:link w:val="Titre4C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Policepardfaut"/>
    <w:link w:val="TextKind"/>
    <w:rsid w:val="00121C60"/>
    <w:rPr>
      <w:rFonts w:ascii="Times New Roman" w:hAnsi="Times New Roman" w:cs="Times New Roman"/>
      <w:sz w:val="24"/>
      <w:szCs w:val="24"/>
      <w:u w:val="single"/>
    </w:rPr>
  </w:style>
  <w:style w:type="character" w:customStyle="1" w:styleId="TextValueChar">
    <w:name w:val="TextValue Char"/>
    <w:basedOn w:val="Policepardfau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Policepardfaut"/>
    <w:link w:val="CallTitle"/>
    <w:rsid w:val="00121C60"/>
    <w:rPr>
      <w:rFonts w:ascii="Times New Roman" w:hAnsi="Times New Roman" w:cs="Times New Roman"/>
      <w:b/>
      <w:sz w:val="28"/>
      <w:szCs w:val="28"/>
      <w:lang w:val="fr-BE"/>
    </w:rPr>
  </w:style>
  <w:style w:type="character" w:customStyle="1" w:styleId="CallIdentifierChar">
    <w:name w:val="CallIdentifier Char"/>
    <w:basedOn w:val="Policepardfaut"/>
    <w:link w:val="CallIdentifier"/>
    <w:rsid w:val="00121C60"/>
    <w:rPr>
      <w:rFonts w:ascii="Times New Roman" w:hAnsi="Times New Roman" w:cs="Times New Roman"/>
      <w:b/>
      <w:i/>
      <w:sz w:val="24"/>
      <w:szCs w:val="24"/>
    </w:rPr>
  </w:style>
  <w:style w:type="character" w:customStyle="1" w:styleId="Titre2Car">
    <w:name w:val="Titre 2 Car"/>
    <w:basedOn w:val="Policepardfaut"/>
    <w:link w:val="Titre2"/>
    <w:uiPriority w:val="9"/>
    <w:rsid w:val="006414B6"/>
    <w:rPr>
      <w:rFonts w:ascii="Times New Roman" w:eastAsiaTheme="majorEastAsia" w:hAnsi="Times New Roman" w:cs="Times New Roman"/>
      <w:b/>
      <w:bCs/>
      <w:sz w:val="28"/>
      <w:szCs w:val="28"/>
      <w:lang w:val="fr-BE"/>
    </w:rPr>
  </w:style>
  <w:style w:type="character" w:customStyle="1" w:styleId="Titre3Car">
    <w:name w:val="Titre 3 Car"/>
    <w:basedOn w:val="Policepardfaut"/>
    <w:link w:val="Titre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Titre3"/>
    <w:next w:val="TextValue"/>
    <w:link w:val="HeadingThreeChar"/>
    <w:qFormat/>
    <w:rsid w:val="00593915"/>
    <w:pPr>
      <w:spacing w:before="240" w:after="240"/>
    </w:pPr>
    <w:rPr>
      <w:sz w:val="24"/>
    </w:rPr>
  </w:style>
  <w:style w:type="character" w:customStyle="1" w:styleId="HeadingThreeChar">
    <w:name w:val="HeadingThree Char"/>
    <w:basedOn w:val="Titre3Car"/>
    <w:link w:val="HeadingThree"/>
    <w:rsid w:val="00593915"/>
    <w:rPr>
      <w:rFonts w:ascii="Times New Roman" w:eastAsiaTheme="majorEastAsia" w:hAnsi="Times New Roman" w:cs="Times New Roman"/>
      <w:b/>
      <w:bCs/>
      <w:sz w:val="24"/>
      <w:szCs w:val="28"/>
    </w:rPr>
  </w:style>
  <w:style w:type="paragraph" w:styleId="En-tte">
    <w:name w:val="header"/>
    <w:basedOn w:val="Normal"/>
    <w:link w:val="En-tteCar"/>
    <w:uiPriority w:val="99"/>
    <w:unhideWhenUsed/>
    <w:rsid w:val="0082499D"/>
    <w:pPr>
      <w:tabs>
        <w:tab w:val="center" w:pos="4536"/>
        <w:tab w:val="right" w:pos="9072"/>
      </w:tabs>
      <w:spacing w:after="0" w:line="240" w:lineRule="auto"/>
    </w:pPr>
  </w:style>
  <w:style w:type="character" w:customStyle="1" w:styleId="En-tteCar">
    <w:name w:val="En-tête Car"/>
    <w:basedOn w:val="Policepardfaut"/>
    <w:link w:val="En-tte"/>
    <w:uiPriority w:val="99"/>
    <w:rsid w:val="0082499D"/>
  </w:style>
  <w:style w:type="paragraph" w:styleId="Pieddepage">
    <w:name w:val="footer"/>
    <w:basedOn w:val="Normal"/>
    <w:link w:val="PieddepageCar"/>
    <w:uiPriority w:val="99"/>
    <w:unhideWhenUsed/>
    <w:rsid w:val="00824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99D"/>
  </w:style>
  <w:style w:type="character" w:customStyle="1" w:styleId="Titre1Car">
    <w:name w:val="Titre 1 Car"/>
    <w:basedOn w:val="Policepardfaut"/>
    <w:link w:val="Titre1"/>
    <w:uiPriority w:val="9"/>
    <w:rsid w:val="00953FBF"/>
    <w:rPr>
      <w:rFonts w:ascii="Times New Roman" w:eastAsiaTheme="majorEastAsia" w:hAnsi="Times New Roman" w:cs="Times New Roman"/>
      <w:b/>
      <w:bCs/>
      <w:sz w:val="28"/>
      <w:szCs w:val="32"/>
    </w:rPr>
  </w:style>
  <w:style w:type="paragraph" w:styleId="En-ttedetabledesmatires">
    <w:name w:val="TOC Heading"/>
    <w:basedOn w:val="Titre1"/>
    <w:next w:val="Normal"/>
    <w:uiPriority w:val="39"/>
    <w:semiHidden/>
    <w:unhideWhenUsed/>
    <w:qFormat/>
    <w:rsid w:val="0082499D"/>
    <w:pPr>
      <w:outlineLvl w:val="9"/>
    </w:pPr>
    <w:rPr>
      <w:lang w:val="en-US" w:eastAsia="ja-JP"/>
    </w:rPr>
  </w:style>
  <w:style w:type="paragraph" w:styleId="Textedebulles">
    <w:name w:val="Balloon Text"/>
    <w:basedOn w:val="Normal"/>
    <w:link w:val="TextedebullesCar"/>
    <w:uiPriority w:val="99"/>
    <w:semiHidden/>
    <w:unhideWhenUsed/>
    <w:rsid w:val="008249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499D"/>
    <w:rPr>
      <w:rFonts w:ascii="Tahoma" w:hAnsi="Tahoma" w:cs="Tahoma"/>
      <w:sz w:val="16"/>
      <w:szCs w:val="16"/>
    </w:rPr>
  </w:style>
  <w:style w:type="table" w:styleId="Grilledutableau">
    <w:name w:val="Table Grid"/>
    <w:basedOn w:val="Tableau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M3">
    <w:name w:val="toc 3"/>
    <w:basedOn w:val="Titre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M2">
    <w:name w:val="toc 2"/>
    <w:basedOn w:val="Normal"/>
    <w:next w:val="Normal"/>
    <w:autoRedefine/>
    <w:uiPriority w:val="39"/>
    <w:unhideWhenUsed/>
    <w:qFormat/>
    <w:rsid w:val="00B1406F"/>
    <w:pPr>
      <w:spacing w:before="240" w:after="0"/>
      <w:jc w:val="left"/>
    </w:pPr>
    <w:rPr>
      <w:b/>
      <w:bCs/>
      <w:szCs w:val="20"/>
    </w:rPr>
  </w:style>
  <w:style w:type="character" w:styleId="Textedelespacerserv">
    <w:name w:val="Placeholder Text"/>
    <w:basedOn w:val="Policepardfaut"/>
    <w:uiPriority w:val="99"/>
    <w:semiHidden/>
    <w:rsid w:val="00617338"/>
    <w:rPr>
      <w:color w:val="808080"/>
    </w:rPr>
  </w:style>
  <w:style w:type="paragraph" w:styleId="Paragraphedeliste">
    <w:name w:val="List Paragraph"/>
    <w:basedOn w:val="Normal"/>
    <w:link w:val="ParagraphedelisteCar"/>
    <w:uiPriority w:val="34"/>
    <w:qFormat/>
    <w:rsid w:val="004800FB"/>
    <w:pPr>
      <w:ind w:left="720"/>
    </w:pPr>
  </w:style>
  <w:style w:type="paragraph" w:customStyle="1" w:styleId="BulletParagraph">
    <w:name w:val="BulletParagraph"/>
    <w:basedOn w:val="Paragraphedeliste"/>
    <w:link w:val="BulletParagraphChar"/>
    <w:qFormat/>
    <w:rsid w:val="006E622C"/>
    <w:pPr>
      <w:numPr>
        <w:numId w:val="1"/>
      </w:numPr>
    </w:pPr>
  </w:style>
  <w:style w:type="character" w:customStyle="1" w:styleId="ParagraphedelisteCar">
    <w:name w:val="Paragraphe de liste Car"/>
    <w:basedOn w:val="Policepardfaut"/>
    <w:link w:val="Paragraphedeliste"/>
    <w:uiPriority w:val="34"/>
    <w:rsid w:val="004800FB"/>
    <w:rPr>
      <w:rFonts w:ascii="Times New Roman" w:hAnsi="Times New Roman"/>
      <w:sz w:val="24"/>
    </w:rPr>
  </w:style>
  <w:style w:type="character" w:customStyle="1" w:styleId="BulletParagraphChar">
    <w:name w:val="BulletParagraph Char"/>
    <w:basedOn w:val="ParagraphedelisteC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Paragraphedeliste"/>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Paragraphedeliste"/>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Titre4Car">
    <w:name w:val="Titre 4 Car"/>
    <w:basedOn w:val="Policepardfaut"/>
    <w:link w:val="Titre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Titre1"/>
    <w:next w:val="TextValue"/>
    <w:qFormat/>
    <w:rsid w:val="00C16345"/>
  </w:style>
  <w:style w:type="paragraph" w:customStyle="1" w:styleId="HeadingTwo">
    <w:name w:val="HeadingTwo"/>
    <w:basedOn w:val="Titre2"/>
    <w:next w:val="TextValue"/>
    <w:qFormat/>
    <w:rsid w:val="00953FBF"/>
    <w:pPr>
      <w:spacing w:after="200"/>
    </w:pPr>
    <w:rPr>
      <w:sz w:val="24"/>
    </w:rPr>
  </w:style>
  <w:style w:type="paragraph" w:customStyle="1" w:styleId="HeadingFour">
    <w:name w:val="HeadingFour"/>
    <w:basedOn w:val="Titre4"/>
    <w:next w:val="TextValue"/>
    <w:qFormat/>
    <w:rsid w:val="006414B6"/>
    <w:rPr>
      <w:b w:val="0"/>
    </w:rPr>
  </w:style>
  <w:style w:type="character" w:styleId="Lienhypertexte">
    <w:name w:val="Hyperlink"/>
    <w:basedOn w:val="Policepardfaut"/>
    <w:uiPriority w:val="99"/>
    <w:unhideWhenUsed/>
    <w:rsid w:val="001E22B7"/>
    <w:rPr>
      <w:color w:val="0000FF" w:themeColor="hyperlink"/>
      <w:u w:val="single"/>
    </w:rPr>
  </w:style>
  <w:style w:type="paragraph" w:styleId="TM4">
    <w:name w:val="toc 4"/>
    <w:basedOn w:val="Normal"/>
    <w:next w:val="Normal"/>
    <w:autoRedefine/>
    <w:uiPriority w:val="39"/>
    <w:unhideWhenUsed/>
    <w:rsid w:val="00B1406F"/>
    <w:pPr>
      <w:spacing w:after="0"/>
      <w:ind w:left="480"/>
      <w:jc w:val="left"/>
    </w:pPr>
    <w:rPr>
      <w:sz w:val="22"/>
      <w:szCs w:val="20"/>
    </w:rPr>
  </w:style>
  <w:style w:type="paragraph" w:styleId="TM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M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M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M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M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xtebrut">
    <w:name w:val="Plain Text"/>
    <w:basedOn w:val="Normal"/>
    <w:link w:val="TextebrutCar"/>
    <w:uiPriority w:val="99"/>
    <w:semiHidden/>
    <w:unhideWhenUsed/>
    <w:rsid w:val="009E7A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E7A2D"/>
    <w:rPr>
      <w:rFonts w:ascii="Consolas" w:hAnsi="Consolas"/>
      <w:sz w:val="21"/>
      <w:szCs w:val="21"/>
    </w:rPr>
  </w:style>
  <w:style w:type="paragraph" w:customStyle="1" w:styleId="NumberParagraphAlpha">
    <w:name w:val="NumberParagraphAlpha"/>
    <w:basedOn w:val="Paragraphedeliste"/>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Policepardfau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new-european-bauhaus/index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EN/TXT/HTML//?uri=CELEX:52019DC0640&amp;from=EN" TargetMode="External"/><Relationship Id="rId18" Type="http://schemas.openxmlformats.org/officeDocument/2006/relationships/hyperlink" Target="https://eur-lex.europa.eu/legal-content/EN/TXT/PDF/?uri=CELEX:52020DC0562&amp;from=EN" TargetMode="External"/><Relationship Id="rId26" Type="http://schemas.openxmlformats.org/officeDocument/2006/relationships/hyperlink" Target="https://ec.europa.eu/energy/sites/ener/files/eu_renovation_wave_strategy.pdf" TargetMode="External"/><Relationship Id="rId3" Type="http://schemas.openxmlformats.org/officeDocument/2006/relationships/hyperlink" Target="https://www.eea.europa.eu/highlights/citizen-science-on-air-quality" TargetMode="External"/><Relationship Id="rId21" Type="http://schemas.openxmlformats.org/officeDocument/2006/relationships/hyperlink" Target="https://www.un.org/ga/search/view_doc.asp?symbol=A/RES/70/1&amp;Lang=E" TargetMode="External"/><Relationship Id="rId34" Type="http://schemas.openxmlformats.org/officeDocument/2006/relationships/hyperlink" Target="https://ted.europa.eu/" TargetMode="External"/><Relationship Id="rId7" Type="http://schemas.openxmlformats.org/officeDocument/2006/relationships/hyperlink" Target="https://ec.europa.eu/info/strategy/priorities-2019-2024/europe-fit-digital-age/european-industrial-strategy_en" TargetMode="External"/><Relationship Id="rId12" Type="http://schemas.openxmlformats.org/officeDocument/2006/relationships/hyperlink" Target="https://ec.europa.eu/digital-single-market/en/destination-earth-destine" TargetMode="External"/><Relationship Id="rId17" Type="http://schemas.openxmlformats.org/officeDocument/2006/relationships/hyperlink" Target="https://europa.eu/climate-pact/system/files/2020-12/20201209EuropeanClimatePactCommunication.pdf" TargetMode="External"/><Relationship Id="rId25" Type="http://schemas.openxmlformats.org/officeDocument/2006/relationships/hyperlink" Target="https://europa.eu/new-european-bauhaus/index_en" TargetMode="External"/><Relationship Id="rId33" Type="http://schemas.openxmlformats.org/officeDocument/2006/relationships/hyperlink" Target="https://ec.europa.eu/info/funding-tenders/opportunities/portal/screen/opportunities/topic-details/lc-gd-1-2-2020" TargetMode="External"/><Relationship Id="rId2" Type="http://schemas.openxmlformats.org/officeDocument/2006/relationships/hyperlink" Target="https://ec.europa.eu/info/research-and-innovation/strategy/european-research-infrastructures_en" TargetMode="External"/><Relationship Id="rId16" Type="http://schemas.openxmlformats.org/officeDocument/2006/relationships/hyperlink" Target="https://ec.europa.eu/energy/sites/ener/files/eu_renovation_wave_strategy.pdf" TargetMode="External"/><Relationship Id="rId20" Type="http://schemas.openxmlformats.org/officeDocument/2006/relationships/hyperlink" Target="https://ec.europa.eu/regional_policy/sources/docgener/brochure/explanatory_memo_eui_post_2020_en.pdf" TargetMode="External"/><Relationship Id="rId29" Type="http://schemas.openxmlformats.org/officeDocument/2006/relationships/hyperlink" Target="https://eur-lex.europa.eu/legal-content/EN/TXT/PDF/?uri=CELEX:52020DC0562&amp;from=EN" TargetMode="External"/><Relationship Id="rId1" Type="http://schemas.openxmlformats.org/officeDocument/2006/relationships/hyperlink" Target="https://ec.europa.eu/info/horizon-europe/missions-horizon-europe/assessment-criteria_en" TargetMode="External"/><Relationship Id="rId6" Type="http://schemas.openxmlformats.org/officeDocument/2006/relationships/hyperlink" Target="https://ec.europa.eu/food/farm2fork_en" TargetMode="External"/><Relationship Id="rId11" Type="http://schemas.openxmlformats.org/officeDocument/2006/relationships/hyperlink" Target="https://ec.europa.eu/health/ehealth/dataspace_en" TargetMode="External"/><Relationship Id="rId24" Type="http://schemas.openxmlformats.org/officeDocument/2006/relationships/hyperlink" Target="https://ec.europa.eu/jrc/communities/en/community/city-science-initiative" TargetMode="External"/><Relationship Id="rId32" Type="http://schemas.openxmlformats.org/officeDocument/2006/relationships/hyperlink" Target="https://ec.europa.eu/commission/presscorner/detail/en/FS_20_1894" TargetMode="External"/><Relationship Id="rId5" Type="http://schemas.openxmlformats.org/officeDocument/2006/relationships/hyperlink" Target="https://ec.europa.eu/info/law/better-regulation/have-your-say/initiatives/12154-Europe-s-Beating-Cancer-Plan" TargetMode="External"/><Relationship Id="rId15" Type="http://schemas.openxmlformats.org/officeDocument/2006/relationships/hyperlink" Target="https://ec.europa.eu/info/law/better-regulation/have-your-say/initiatives/12381-EU-Strategy-on" TargetMode="External"/><Relationship Id="rId23" Type="http://schemas.openxmlformats.org/officeDocument/2006/relationships/hyperlink" Target="https://ec.europa.eu/info/energy-climate-change-environment/implementation-eu-countries/energy-and-climate-governance-and-reporting/national-energy-and-climate-plans_en" TargetMode="External"/><Relationship Id="rId28" Type="http://schemas.openxmlformats.org/officeDocument/2006/relationships/hyperlink" Target="https://europa.eu/climate-pact/system/files/2020-12/20201209EuropeanClimatePactCommunication.pdf" TargetMode="External"/><Relationship Id="rId36" Type="http://schemas.openxmlformats.org/officeDocument/2006/relationships/hyperlink" Target="https://ec.europa.eu/docsroom/documents/40541/attachments/1/translations/en/renditions/pdf" TargetMode="External"/><Relationship Id="rId10" Type="http://schemas.openxmlformats.org/officeDocument/2006/relationships/hyperlink" Target="https://ec.europa.eu/info/research-and-innovation/strategy/goals-research-and-innovation-policy/open-science/eosc_en" TargetMode="External"/><Relationship Id="rId19" Type="http://schemas.openxmlformats.org/officeDocument/2006/relationships/hyperlink" Target="https://ec.europa.eu/futurium/en/urban-agenda" TargetMode="External"/><Relationship Id="rId31" Type="http://schemas.openxmlformats.org/officeDocument/2006/relationships/hyperlink" Target="https://eur-lex.europa.eu/legal-content/EN/TXT/HTML/?uri=CELEX:52020DC0789&amp;from=EN" TargetMode="External"/><Relationship Id="rId4" Type="http://schemas.openxmlformats.org/officeDocument/2006/relationships/hyperlink" Target="https://www.who.int/social_determinants/publications/health-policies-manual/key-messages-en.pdf" TargetMode="External"/><Relationship Id="rId9" Type="http://schemas.openxmlformats.org/officeDocument/2006/relationships/hyperlink" Target="https://www.eortc.org/specta/" TargetMode="External"/><Relationship Id="rId14" Type="http://schemas.openxmlformats.org/officeDocument/2006/relationships/hyperlink" Target="https://eur-lex.europa.eu/legal-content/EN/TXT/HTML/?uri=CELEX:52020DC0789&amp;from=EN" TargetMode="External"/><Relationship Id="rId22" Type="http://schemas.openxmlformats.org/officeDocument/2006/relationships/hyperlink" Target="https://ec.europa.eu/info/funding-tenders/opportunities/portal/screen/opportunities/topic-details/lc-gd-1-2-2020" TargetMode="External"/><Relationship Id="rId27" Type="http://schemas.openxmlformats.org/officeDocument/2006/relationships/hyperlink" Target="https://ec.europa.eu/info/law/better-regulation/have-your-say/initiatives/12381-EU-Strategy-on-" TargetMode="External"/><Relationship Id="rId30" Type="http://schemas.openxmlformats.org/officeDocument/2006/relationships/hyperlink" Target="https://davosdeclaration2018.ch/media/Context-document-en.pdf" TargetMode="External"/><Relationship Id="rId35" Type="http://schemas.openxmlformats.org/officeDocument/2006/relationships/hyperlink" Target="https://ec.europa.eu/jrc/en/eu-soil-observatory" TargetMode="External"/><Relationship Id="rId8" Type="http://schemas.openxmlformats.org/officeDocument/2006/relationships/hyperlink" Target="https://ec.europa.eu/info/strategy/priorities-2019-2024/europe-fit-digital-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18F24F2D4E8140A461B5DCD99F9D2E" ma:contentTypeVersion="11" ma:contentTypeDescription="Create a new document." ma:contentTypeScope="" ma:versionID="128f7f20a34de7a4f12ce3563a5d953b">
  <xsd:schema xmlns:xsd="http://www.w3.org/2001/XMLSchema" xmlns:xs="http://www.w3.org/2001/XMLSchema" xmlns:p="http://schemas.microsoft.com/office/2006/metadata/properties" xmlns:ns2="a5835c61-ca2e-49ee-8dca-a76e9f0344a3" xmlns:ns3="ba7bd860-1739-4001-af8a-147771a6eb05" targetNamespace="http://schemas.microsoft.com/office/2006/metadata/properties" ma:root="true" ma:fieldsID="d682ec7d4d9572c5b0c6487b8944f776" ns2:_="" ns3:_="">
    <xsd:import namespace="a5835c61-ca2e-49ee-8dca-a76e9f0344a3"/>
    <xsd:import namespace="ba7bd860-1739-4001-af8a-147771a6e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5c61-ca2e-49ee-8dca-a76e9f03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bd860-1739-4001-af8a-147771a6eb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145DC-ACA5-4C91-9A9E-638270FBF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7BA09-14D7-4080-ABC5-F70999BB9AF5}">
  <ds:schemaRefs>
    <ds:schemaRef ds:uri="http://schemas.microsoft.com/sharepoint/v3/contenttype/forms"/>
  </ds:schemaRefs>
</ds:datastoreItem>
</file>

<file path=customXml/itemProps3.xml><?xml version="1.0" encoding="utf-8"?>
<ds:datastoreItem xmlns:ds="http://schemas.openxmlformats.org/officeDocument/2006/customXml" ds:itemID="{58D6444E-BB9A-4E5B-BD33-BA1F69AB69ED}">
  <ds:schemaRefs>
    <ds:schemaRef ds:uri="http://schemas.openxmlformats.org/officeDocument/2006/bibliography"/>
  </ds:schemaRefs>
</ds:datastoreItem>
</file>

<file path=customXml/itemProps4.xml><?xml version="1.0" encoding="utf-8"?>
<ds:datastoreItem xmlns:ds="http://schemas.openxmlformats.org/officeDocument/2006/customXml" ds:itemID="{2DF8B100-C393-4869-894C-5AC6EBD2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5c61-ca2e-49ee-8dca-a76e9f0344a3"/>
    <ds:schemaRef ds:uri="ba7bd860-1739-4001-af8a-147771a6e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17388</Words>
  <Characters>95635</Characters>
  <Application>Microsoft Office Word</Application>
  <DocSecurity>0</DocSecurity>
  <Lines>796</Lines>
  <Paragraphs>225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 </cp:lastModifiedBy>
  <cp:revision>2</cp:revision>
  <dcterms:created xsi:type="dcterms:W3CDTF">2021-05-21T17:22:00Z</dcterms:created>
  <dcterms:modified xsi:type="dcterms:W3CDTF">2021-05-21T17:22:00Z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y fmtid="{D5CDD505-2E9C-101B-9397-08002B2CF9AE}" pid="6" name="ContentTypeId">
    <vt:lpwstr>0x0101008B18F24F2D4E8140A461B5DCD99F9D2E</vt:lpwstr>
  </property>
</Properties>
</file>